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
        <w:jc w:val="center"/>
        <w:rPr>
          <w:rFonts w:asciiTheme="majorEastAsia" w:hAnsiTheme="majorEastAsia" w:eastAsiaTheme="majorEastAsia"/>
        </w:rPr>
      </w:pPr>
    </w:p>
    <w:p>
      <w:pPr>
        <w:spacing w:before="156" w:beforeLines="50"/>
        <w:ind w:left="2164" w:hanging="2163" w:hangingChars="350"/>
        <w:jc w:val="center"/>
        <w:rPr>
          <w:rFonts w:asciiTheme="majorEastAsia" w:hAnsiTheme="majorEastAsia" w:eastAsiaTheme="majorEastAsia"/>
          <w:b/>
          <w:bCs/>
          <w:spacing w:val="28"/>
          <w:sz w:val="56"/>
          <w:szCs w:val="56"/>
        </w:rPr>
      </w:pPr>
      <w:bookmarkStart w:id="0" w:name="_Hlk78549435"/>
      <w:r>
        <w:rPr>
          <w:rFonts w:hint="eastAsia" w:asciiTheme="majorEastAsia" w:hAnsiTheme="majorEastAsia" w:eastAsiaTheme="majorEastAsia"/>
          <w:b/>
          <w:bCs/>
          <w:spacing w:val="28"/>
          <w:sz w:val="56"/>
          <w:szCs w:val="56"/>
        </w:rPr>
        <w:t>六盘水市</w:t>
      </w:r>
      <w:r>
        <w:rPr>
          <w:rFonts w:asciiTheme="majorEastAsia" w:hAnsiTheme="majorEastAsia" w:eastAsiaTheme="majorEastAsia"/>
          <w:b/>
          <w:bCs/>
          <w:spacing w:val="28"/>
          <w:sz w:val="56"/>
          <w:szCs w:val="56"/>
        </w:rPr>
        <w:t>“十四五”交通</w:t>
      </w:r>
    </w:p>
    <w:p>
      <w:pPr>
        <w:spacing w:before="156" w:beforeLines="50" w:line="240" w:lineRule="auto"/>
        <w:ind w:left="2164" w:hanging="2163" w:hangingChars="350"/>
        <w:jc w:val="center"/>
        <w:rPr>
          <w:rFonts w:asciiTheme="majorEastAsia" w:hAnsiTheme="majorEastAsia" w:eastAsiaTheme="majorEastAsia"/>
          <w:b/>
          <w:bCs/>
          <w:spacing w:val="28"/>
          <w:sz w:val="56"/>
          <w:szCs w:val="56"/>
        </w:rPr>
      </w:pPr>
      <w:r>
        <w:rPr>
          <w:rFonts w:asciiTheme="majorEastAsia" w:hAnsiTheme="majorEastAsia" w:eastAsiaTheme="majorEastAsia"/>
          <w:b/>
          <w:bCs/>
          <w:spacing w:val="28"/>
          <w:sz w:val="56"/>
          <w:szCs w:val="56"/>
        </w:rPr>
        <w:t>运输发展规划</w:t>
      </w:r>
    </w:p>
    <w:bookmarkEnd w:id="0"/>
    <w:p>
      <w:pPr>
        <w:spacing w:before="100" w:beforeAutospacing="1" w:after="100" w:afterAutospacing="1"/>
        <w:ind w:firstLine="600"/>
        <w:jc w:val="center"/>
        <w:rPr>
          <w:rFonts w:asciiTheme="majorEastAsia" w:hAnsiTheme="majorEastAsia" w:eastAsiaTheme="majorEastAsia"/>
          <w:sz w:val="30"/>
          <w:szCs w:val="32"/>
        </w:rPr>
      </w:pPr>
    </w:p>
    <w:p>
      <w:pPr>
        <w:ind w:firstLine="600"/>
        <w:jc w:val="center"/>
        <w:rPr>
          <w:rFonts w:asciiTheme="majorEastAsia" w:hAnsiTheme="majorEastAsia" w:eastAsiaTheme="majorEastAsia"/>
          <w:sz w:val="30"/>
          <w:szCs w:val="32"/>
        </w:rPr>
      </w:pPr>
    </w:p>
    <w:p>
      <w:pPr>
        <w:ind w:firstLine="600"/>
        <w:jc w:val="center"/>
        <w:rPr>
          <w:rFonts w:asciiTheme="majorEastAsia" w:hAnsiTheme="majorEastAsia" w:eastAsiaTheme="majorEastAsia"/>
          <w:sz w:val="30"/>
          <w:szCs w:val="32"/>
        </w:rPr>
      </w:pPr>
    </w:p>
    <w:p>
      <w:pPr>
        <w:ind w:firstLine="600"/>
        <w:jc w:val="center"/>
        <w:rPr>
          <w:rFonts w:asciiTheme="majorEastAsia" w:hAnsiTheme="majorEastAsia" w:eastAsiaTheme="majorEastAsia"/>
          <w:sz w:val="30"/>
          <w:szCs w:val="32"/>
        </w:rPr>
      </w:pPr>
    </w:p>
    <w:p>
      <w:pPr>
        <w:ind w:firstLine="600"/>
        <w:jc w:val="center"/>
        <w:rPr>
          <w:rFonts w:asciiTheme="majorEastAsia" w:hAnsiTheme="majorEastAsia" w:eastAsiaTheme="majorEastAsia"/>
          <w:sz w:val="30"/>
          <w:szCs w:val="32"/>
        </w:rPr>
      </w:pPr>
    </w:p>
    <w:p>
      <w:pPr>
        <w:ind w:firstLine="600"/>
        <w:jc w:val="center"/>
        <w:rPr>
          <w:rFonts w:asciiTheme="majorEastAsia" w:hAnsiTheme="majorEastAsia" w:eastAsiaTheme="majorEastAsia"/>
          <w:sz w:val="30"/>
          <w:szCs w:val="32"/>
        </w:rPr>
      </w:pPr>
    </w:p>
    <w:p>
      <w:pPr>
        <w:ind w:firstLine="600"/>
        <w:jc w:val="center"/>
        <w:rPr>
          <w:rFonts w:asciiTheme="majorEastAsia" w:hAnsiTheme="majorEastAsia" w:eastAsiaTheme="majorEastAsia"/>
          <w:sz w:val="30"/>
          <w:szCs w:val="32"/>
        </w:rPr>
      </w:pPr>
    </w:p>
    <w:p>
      <w:pPr>
        <w:ind w:firstLine="600"/>
        <w:jc w:val="center"/>
        <w:rPr>
          <w:rFonts w:asciiTheme="majorEastAsia" w:hAnsiTheme="majorEastAsia" w:eastAsiaTheme="majorEastAsia"/>
          <w:sz w:val="30"/>
          <w:szCs w:val="32"/>
        </w:rPr>
      </w:pPr>
    </w:p>
    <w:p>
      <w:pPr>
        <w:ind w:firstLine="600"/>
        <w:jc w:val="center"/>
        <w:rPr>
          <w:rFonts w:asciiTheme="majorEastAsia" w:hAnsiTheme="majorEastAsia" w:eastAsiaTheme="majorEastAsia"/>
          <w:sz w:val="30"/>
          <w:szCs w:val="32"/>
        </w:rPr>
      </w:pPr>
    </w:p>
    <w:p>
      <w:pPr>
        <w:ind w:firstLine="600"/>
        <w:jc w:val="center"/>
        <w:rPr>
          <w:rFonts w:asciiTheme="majorEastAsia" w:hAnsiTheme="majorEastAsia" w:eastAsiaTheme="majorEastAsia"/>
          <w:sz w:val="30"/>
          <w:szCs w:val="32"/>
        </w:rPr>
      </w:pPr>
    </w:p>
    <w:p>
      <w:pPr>
        <w:adjustRightInd w:val="0"/>
        <w:snapToGrid w:val="0"/>
        <w:spacing w:line="240" w:lineRule="auto"/>
        <w:jc w:val="center"/>
        <w:rPr>
          <w:rFonts w:ascii="宋体" w:hAnsi="宋体"/>
          <w:b/>
          <w:bCs/>
          <w:sz w:val="52"/>
          <w:szCs w:val="28"/>
        </w:rPr>
      </w:pPr>
      <w:r>
        <w:rPr>
          <w:rFonts w:hint="eastAsia" w:ascii="宋体" w:hAnsi="宋体"/>
          <w:b/>
          <w:sz w:val="32"/>
          <w:szCs w:val="28"/>
        </w:rPr>
        <w:t>六盘水市交通运输局</w:t>
      </w:r>
    </w:p>
    <w:p>
      <w:pPr>
        <w:adjustRightInd w:val="0"/>
        <w:snapToGrid w:val="0"/>
        <w:spacing w:before="156" w:beforeLines="50" w:after="312" w:afterLines="100" w:line="240" w:lineRule="auto"/>
        <w:jc w:val="center"/>
        <w:rPr>
          <w:rFonts w:ascii="宋体" w:hAnsi="宋体"/>
          <w:b/>
          <w:bCs/>
          <w:spacing w:val="40"/>
          <w:sz w:val="32"/>
          <w:szCs w:val="32"/>
        </w:rPr>
      </w:pPr>
      <w:r>
        <w:rPr>
          <w:rFonts w:ascii="宋体" w:hAnsi="宋体"/>
          <w:b/>
          <w:bCs/>
          <w:spacing w:val="40"/>
          <w:sz w:val="32"/>
          <w:szCs w:val="32"/>
        </w:rPr>
        <w:t xml:space="preserve"> </w:t>
      </w:r>
      <w:r>
        <w:rPr>
          <w:rFonts w:hint="eastAsia" w:ascii="宋体" w:hAnsi="宋体"/>
          <w:b/>
          <w:bCs/>
          <w:spacing w:val="40"/>
          <w:sz w:val="32"/>
          <w:szCs w:val="32"/>
        </w:rPr>
        <w:t>2</w:t>
      </w:r>
      <w:r>
        <w:rPr>
          <w:rFonts w:ascii="宋体" w:hAnsi="宋体"/>
          <w:b/>
          <w:bCs/>
          <w:spacing w:val="40"/>
          <w:sz w:val="32"/>
          <w:szCs w:val="32"/>
        </w:rPr>
        <w:t>021.11</w:t>
      </w:r>
    </w:p>
    <w:p>
      <w:pPr>
        <w:adjustRightInd w:val="0"/>
        <w:snapToGrid w:val="0"/>
        <w:spacing w:before="156" w:beforeLines="50" w:after="312" w:afterLines="100" w:line="240" w:lineRule="auto"/>
        <w:rPr>
          <w:rFonts w:ascii="宋体" w:hAnsi="宋体"/>
          <w:b/>
          <w:bCs/>
          <w:sz w:val="32"/>
          <w:szCs w:val="32"/>
        </w:rPr>
        <w:sectPr>
          <w:headerReference r:id="rId5" w:type="default"/>
          <w:footerReference r:id="rId7" w:type="default"/>
          <w:headerReference r:id="rId6" w:type="even"/>
          <w:footerReference r:id="rId8" w:type="even"/>
          <w:pgSz w:w="11906" w:h="16838"/>
          <w:pgMar w:top="1440" w:right="1701" w:bottom="1440" w:left="1701" w:header="851" w:footer="992" w:gutter="0"/>
          <w:pgNumType w:start="1"/>
          <w:cols w:space="720" w:num="1"/>
          <w:titlePg/>
          <w:docGrid w:type="lines" w:linePitch="312" w:charSpace="0"/>
        </w:sectPr>
      </w:pPr>
    </w:p>
    <w:p>
      <w:pPr>
        <w:widowControl/>
        <w:spacing w:line="240" w:lineRule="auto"/>
        <w:rPr>
          <w:rFonts w:ascii="宋体" w:hAnsi="宋体" w:cs="宋体"/>
          <w:kern w:val="0"/>
          <w:sz w:val="24"/>
        </w:rPr>
      </w:pPr>
      <w:r>
        <w:rPr>
          <w:rFonts w:ascii="宋体" w:hAnsi="宋体" w:cs="宋体"/>
          <w:kern w:val="0"/>
          <w:sz w:val="24"/>
        </w:rPr>
        <w:drawing>
          <wp:inline distT="0" distB="0" distL="0" distR="0">
            <wp:extent cx="5400040" cy="729107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00040" cy="7291218"/>
                    </a:xfrm>
                    <a:prstGeom prst="rect">
                      <a:avLst/>
                    </a:prstGeom>
                    <a:noFill/>
                    <a:ln>
                      <a:noFill/>
                    </a:ln>
                  </pic:spPr>
                </pic:pic>
              </a:graphicData>
            </a:graphic>
          </wp:inline>
        </w:drawing>
      </w:r>
    </w:p>
    <w:p>
      <w:pPr>
        <w:widowControl/>
        <w:spacing w:line="240" w:lineRule="auto"/>
        <w:jc w:val="center"/>
        <w:rPr>
          <w:rFonts w:ascii="宋体" w:hAnsi="宋体" w:cs="宋体"/>
          <w:kern w:val="0"/>
          <w:sz w:val="24"/>
        </w:rPr>
      </w:pPr>
      <w:r>
        <w:rPr>
          <w:rFonts w:ascii="宋体" w:hAnsi="宋体" w:cs="宋体"/>
          <w:kern w:val="0"/>
          <w:sz w:val="24"/>
        </w:rPr>
        <w:drawing>
          <wp:inline distT="0" distB="0" distL="0" distR="0">
            <wp:extent cx="5400040" cy="755777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00040" cy="7558321"/>
                    </a:xfrm>
                    <a:prstGeom prst="rect">
                      <a:avLst/>
                    </a:prstGeom>
                    <a:noFill/>
                    <a:ln>
                      <a:noFill/>
                    </a:ln>
                  </pic:spPr>
                </pic:pic>
              </a:graphicData>
            </a:graphic>
          </wp:inline>
        </w:drawing>
      </w:r>
    </w:p>
    <w:p>
      <w:pPr>
        <w:widowControl/>
        <w:spacing w:line="240" w:lineRule="auto"/>
        <w:jc w:val="center"/>
        <w:rPr>
          <w:rFonts w:ascii="宋体" w:hAnsi="宋体" w:cs="宋体"/>
          <w:kern w:val="0"/>
          <w:sz w:val="24"/>
        </w:rPr>
      </w:pPr>
    </w:p>
    <w:p>
      <w:pPr>
        <w:widowControl/>
        <w:spacing w:line="240" w:lineRule="auto"/>
        <w:rPr>
          <w:rFonts w:hint="eastAsia" w:ascii="宋体" w:hAnsi="宋体" w:cs="宋体"/>
          <w:kern w:val="0"/>
          <w:sz w:val="24"/>
        </w:rPr>
      </w:pPr>
    </w:p>
    <w:p>
      <w:pPr>
        <w:widowControl/>
        <w:spacing w:line="240" w:lineRule="auto"/>
        <w:rPr>
          <w:rFonts w:hint="eastAsia" w:ascii="宋体" w:hAnsi="宋体" w:cs="宋体"/>
          <w:kern w:val="0"/>
          <w:sz w:val="24"/>
        </w:rPr>
      </w:pPr>
    </w:p>
    <w:p>
      <w:pPr>
        <w:adjustRightInd w:val="0"/>
        <w:snapToGrid w:val="0"/>
        <w:spacing w:before="156" w:beforeLines="50" w:after="312" w:afterLines="100" w:line="240" w:lineRule="auto"/>
        <w:jc w:val="center"/>
        <w:rPr>
          <w:rFonts w:ascii="宋体" w:hAnsi="宋体"/>
          <w:b/>
          <w:bCs/>
          <w:sz w:val="32"/>
          <w:szCs w:val="32"/>
        </w:rPr>
      </w:pPr>
    </w:p>
    <w:p>
      <w:pPr>
        <w:adjustRightInd w:val="0"/>
        <w:snapToGrid w:val="0"/>
        <w:spacing w:before="156" w:beforeLines="50" w:after="312" w:afterLines="100" w:line="240" w:lineRule="auto"/>
        <w:jc w:val="center"/>
        <w:rPr>
          <w:rFonts w:ascii="宋体" w:hAnsi="宋体"/>
          <w:b/>
          <w:bCs/>
          <w:sz w:val="32"/>
          <w:szCs w:val="32"/>
        </w:rPr>
      </w:pPr>
      <w:r>
        <w:rPr>
          <w:rFonts w:ascii="宋体" w:hAnsi="宋体" w:cs="宋体"/>
          <w:kern w:val="0"/>
          <w:sz w:val="24"/>
        </w:rPr>
        <w:drawing>
          <wp:inline distT="0" distB="0" distL="0" distR="0">
            <wp:extent cx="5399405" cy="78149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03309" cy="7820936"/>
                    </a:xfrm>
                    <a:prstGeom prst="rect">
                      <a:avLst/>
                    </a:prstGeom>
                    <a:noFill/>
                    <a:ln>
                      <a:noFill/>
                    </a:ln>
                  </pic:spPr>
                </pic:pic>
              </a:graphicData>
            </a:graphic>
          </wp:inline>
        </w:drawing>
      </w:r>
    </w:p>
    <w:p>
      <w:pPr>
        <w:widowControl/>
        <w:spacing w:line="240" w:lineRule="auto"/>
        <w:jc w:val="center"/>
        <w:rPr>
          <w:rFonts w:ascii="宋体" w:hAnsi="宋体" w:cs="宋体"/>
          <w:kern w:val="0"/>
          <w:sz w:val="24"/>
        </w:rPr>
      </w:pPr>
    </w:p>
    <w:p>
      <w:pPr>
        <w:widowControl/>
        <w:spacing w:line="240" w:lineRule="auto"/>
        <w:jc w:val="center"/>
        <w:rPr>
          <w:rFonts w:ascii="宋体" w:hAnsi="宋体" w:cs="宋体"/>
          <w:kern w:val="0"/>
          <w:sz w:val="24"/>
        </w:rPr>
      </w:pPr>
    </w:p>
    <w:p>
      <w:pPr>
        <w:widowControl/>
        <w:spacing w:line="240" w:lineRule="auto"/>
        <w:jc w:val="center"/>
        <w:rPr>
          <w:rFonts w:hint="eastAsia" w:ascii="宋体" w:hAnsi="宋体" w:cs="宋体"/>
          <w:kern w:val="0"/>
          <w:sz w:val="24"/>
        </w:rPr>
      </w:pPr>
    </w:p>
    <w:p>
      <w:pPr>
        <w:adjustRightInd w:val="0"/>
        <w:snapToGrid w:val="0"/>
        <w:spacing w:before="156" w:beforeLines="50" w:after="312" w:afterLines="100" w:line="240" w:lineRule="auto"/>
        <w:rPr>
          <w:rFonts w:ascii="宋体" w:hAnsi="宋体"/>
          <w:b/>
          <w:bCs/>
          <w:sz w:val="32"/>
          <w:szCs w:val="32"/>
        </w:rPr>
      </w:pPr>
      <w:r>
        <w:rPr>
          <w:rFonts w:ascii="宋体" w:hAnsi="宋体" w:cs="宋体"/>
          <w:kern w:val="0"/>
          <w:sz w:val="24"/>
        </w:rPr>
        <w:drawing>
          <wp:inline distT="0" distB="0" distL="0" distR="0">
            <wp:extent cx="5400040" cy="759714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00040" cy="7597559"/>
                    </a:xfrm>
                    <a:prstGeom prst="rect">
                      <a:avLst/>
                    </a:prstGeom>
                    <a:noFill/>
                    <a:ln>
                      <a:noFill/>
                    </a:ln>
                  </pic:spPr>
                </pic:pic>
              </a:graphicData>
            </a:graphic>
          </wp:inline>
        </w:drawing>
      </w:r>
    </w:p>
    <w:p>
      <w:pPr>
        <w:adjustRightInd w:val="0"/>
        <w:snapToGrid w:val="0"/>
        <w:spacing w:before="156" w:beforeLines="50" w:after="312" w:afterLines="100" w:line="240" w:lineRule="auto"/>
        <w:rPr>
          <w:rFonts w:hint="eastAsia" w:ascii="宋体" w:hAnsi="宋体"/>
          <w:b/>
          <w:bCs/>
          <w:sz w:val="32"/>
          <w:szCs w:val="32"/>
        </w:rPr>
        <w:sectPr>
          <w:pgSz w:w="11906" w:h="16838"/>
          <w:pgMar w:top="1440" w:right="1701" w:bottom="1440" w:left="1701" w:header="851" w:footer="992" w:gutter="0"/>
          <w:pgNumType w:start="1"/>
          <w:cols w:space="720" w:num="1"/>
          <w:titlePg/>
          <w:docGrid w:type="lines" w:linePitch="312" w:charSpace="0"/>
        </w:sectPr>
      </w:pPr>
    </w:p>
    <w:p>
      <w:pPr>
        <w:adjustRightInd w:val="0"/>
        <w:snapToGrid w:val="0"/>
        <w:spacing w:before="156" w:beforeLines="50" w:after="312" w:afterLines="100" w:line="240" w:lineRule="auto"/>
        <w:jc w:val="center"/>
        <w:rPr>
          <w:rFonts w:ascii="宋体" w:hAnsi="宋体"/>
          <w:b/>
          <w:bCs/>
          <w:sz w:val="32"/>
          <w:szCs w:val="32"/>
        </w:rPr>
        <w:sectPr>
          <w:pgSz w:w="11906" w:h="16838"/>
          <w:pgMar w:top="1440" w:right="1701" w:bottom="1440" w:left="1701" w:header="851" w:footer="992" w:gutter="0"/>
          <w:pgNumType w:start="1"/>
          <w:cols w:space="720" w:num="1"/>
          <w:titlePg/>
          <w:docGrid w:type="lines" w:linePitch="312" w:charSpace="0"/>
        </w:sectPr>
      </w:pPr>
      <w:r>
        <w:rPr>
          <w:rFonts w:ascii="宋体" w:hAnsi="宋体"/>
          <w:b/>
          <w:bCs/>
          <w:sz w:val="32"/>
          <w:szCs w:val="32"/>
        </w:rPr>
        <w:object>
          <v:shape id="_x0000_i1025" o:spt="75" type="#_x0000_t75" style="height:607.9pt;width:418.4pt;" o:ole="t" filled="f" o:preferrelative="t" stroked="f" coordsize="21600,21600">
            <v:path/>
            <v:fill on="f" focussize="0,0"/>
            <v:stroke on="f" joinstyle="miter"/>
            <v:imagedata r:id="rId19" cropleft="9730f" croptop="9409f" cropright="8315f" cropbottom="7159f" o:title=""/>
            <o:lock v:ext="edit" aspectratio="t"/>
            <w10:wrap type="none"/>
            <w10:anchorlock/>
          </v:shape>
          <o:OLEObject Type="Embed" ProgID="AcroExch.Document.7" ShapeID="_x0000_i1025" DrawAspect="Content" ObjectID="_1468075725" r:id="rId18">
            <o:LockedField>false</o:LockedField>
          </o:OLEObject>
        </w:object>
      </w:r>
    </w:p>
    <w:p>
      <w:pPr>
        <w:adjustRightInd w:val="0"/>
        <w:snapToGrid w:val="0"/>
        <w:spacing w:before="156" w:beforeLines="50" w:after="312" w:afterLines="100" w:line="240" w:lineRule="auto"/>
        <w:jc w:val="center"/>
        <w:rPr>
          <w:rFonts w:ascii="宋体" w:hAnsi="宋体"/>
          <w:b/>
          <w:bCs/>
          <w:sz w:val="32"/>
          <w:szCs w:val="32"/>
        </w:rPr>
        <w:sectPr>
          <w:pgSz w:w="11906" w:h="16838"/>
          <w:pgMar w:top="1440" w:right="1701" w:bottom="1440" w:left="1701" w:header="851" w:footer="992" w:gutter="0"/>
          <w:pgNumType w:start="1"/>
          <w:cols w:space="720" w:num="1"/>
          <w:titlePg/>
          <w:docGrid w:type="lines" w:linePitch="312" w:charSpace="0"/>
        </w:sectPr>
      </w:pPr>
      <w:r>
        <w:rPr>
          <w:rFonts w:ascii="宋体" w:hAnsi="宋体"/>
          <w:b/>
          <w:bCs/>
          <w:sz w:val="32"/>
          <w:szCs w:val="32"/>
        </w:rPr>
        <w:object>
          <v:shape id="_x0000_i1026" o:spt="75" type="#_x0000_t75" style="height:631.7pt;width:428.6pt;" o:ole="t" filled="f" o:preferrelative="t" stroked="f" coordsize="21600,21600">
            <v:path/>
            <v:fill on="f" focussize="0,0"/>
            <v:stroke on="f" joinstyle="miter"/>
            <v:imagedata r:id="rId21" cropleft="1197f" cropright="1395f" o:title=""/>
            <o:lock v:ext="edit" aspectratio="t"/>
            <w10:wrap type="none"/>
            <w10:anchorlock/>
          </v:shape>
          <o:OLEObject Type="Embed" ProgID="AcroExch.Document.7" ShapeID="_x0000_i1026" DrawAspect="Content" ObjectID="_1468075726" r:id="rId20">
            <o:LockedField>false</o:LockedField>
          </o:OLEObject>
        </w:object>
      </w:r>
    </w:p>
    <w:p>
      <w:pPr>
        <w:spacing w:after="156" w:afterLines="50" w:line="570" w:lineRule="exact"/>
        <w:jc w:val="center"/>
        <w:rPr>
          <w:rFonts w:cs="FangSong_GB2312" w:asciiTheme="majorEastAsia" w:hAnsiTheme="majorEastAsia" w:eastAsiaTheme="majorEastAsia"/>
          <w:b/>
          <w:bCs/>
          <w:sz w:val="40"/>
          <w:szCs w:val="40"/>
        </w:rPr>
      </w:pPr>
      <w:r>
        <w:rPr>
          <w:rFonts w:hint="eastAsia" w:cs="FangSong_GB2312" w:asciiTheme="majorEastAsia" w:hAnsiTheme="majorEastAsia" w:eastAsiaTheme="majorEastAsia"/>
          <w:b/>
          <w:bCs/>
          <w:sz w:val="40"/>
          <w:szCs w:val="40"/>
        </w:rPr>
        <w:t>编 写 组 成 员</w:t>
      </w:r>
    </w:p>
    <w:p>
      <w:pPr>
        <w:autoSpaceDE w:val="0"/>
        <w:autoSpaceDN w:val="0"/>
        <w:spacing w:line="760" w:lineRule="exact"/>
        <w:jc w:val="left"/>
        <w:rPr>
          <w:rFonts w:ascii="宋体" w:hAnsi="宋体"/>
          <w:color w:val="000000"/>
          <w:sz w:val="30"/>
          <w:szCs w:val="30"/>
        </w:rPr>
      </w:pPr>
      <w:r>
        <w:rPr>
          <w:rFonts w:hint="eastAsia" w:ascii="宋体" w:hAnsi="宋体"/>
          <w:color w:val="000000"/>
          <w:sz w:val="30"/>
          <w:szCs w:val="30"/>
        </w:rPr>
        <w:t>组 织 单 位：六盘水市交通运输局</w:t>
      </w:r>
    </w:p>
    <w:p>
      <w:pPr>
        <w:pBdr>
          <w:top w:val="none" w:color="auto" w:sz="0" w:space="1"/>
          <w:left w:val="none" w:color="auto" w:sz="0" w:space="4"/>
          <w:bottom w:val="none" w:color="auto" w:sz="0" w:space="1"/>
          <w:right w:val="none" w:color="auto" w:sz="0" w:space="4"/>
        </w:pBdr>
        <w:tabs>
          <w:tab w:val="center" w:pos="4153"/>
          <w:tab w:val="right" w:pos="8306"/>
        </w:tabs>
        <w:snapToGrid w:val="0"/>
        <w:rPr>
          <w:rFonts w:cs="FangSong_GB2312" w:asciiTheme="majorEastAsia" w:hAnsiTheme="majorEastAsia" w:eastAsiaTheme="majorEastAsia"/>
          <w:szCs w:val="28"/>
        </w:rPr>
      </w:pPr>
      <w:bookmarkStart w:id="1" w:name="_Hlk78550510"/>
      <w:r>
        <w:rPr>
          <w:rFonts w:hint="eastAsia" w:ascii="宋体" w:hAnsi="宋体"/>
          <w:color w:val="000000"/>
          <w:sz w:val="30"/>
          <w:szCs w:val="30"/>
        </w:rPr>
        <w:t>参 编 人 员：</w:t>
      </w:r>
      <w:bookmarkEnd w:id="1"/>
      <w:r>
        <w:rPr>
          <w:rFonts w:hint="eastAsia" w:cs="FangSong_GB2312" w:asciiTheme="majorEastAsia" w:hAnsiTheme="majorEastAsia" w:eastAsiaTheme="majorEastAsia"/>
          <w:szCs w:val="28"/>
        </w:rPr>
        <w:t xml:space="preserve">王宜治  李远林  田友明  吴文峰  方敦  张文博  曲野  王华  田德江  吴飞  杜安政  肖伟  杨茂  龙辉  初春  秦佳佳  李冬  李继宏  高忠华  杨兴礼 </w:t>
      </w:r>
      <w:r>
        <w:rPr>
          <w:rFonts w:cs="FangSong_GB2312" w:asciiTheme="majorEastAsia" w:hAnsiTheme="majorEastAsia" w:eastAsiaTheme="majorEastAsia"/>
          <w:szCs w:val="28"/>
        </w:rPr>
        <w:t xml:space="preserve"> </w:t>
      </w:r>
      <w:r>
        <w:rPr>
          <w:rFonts w:hint="eastAsia" w:cs="FangSong_GB2312" w:asciiTheme="majorEastAsia" w:hAnsiTheme="majorEastAsia" w:eastAsiaTheme="majorEastAsia"/>
          <w:szCs w:val="28"/>
        </w:rPr>
        <w:t xml:space="preserve">范友忠 </w:t>
      </w:r>
      <w:r>
        <w:rPr>
          <w:rFonts w:cs="FangSong_GB2312" w:asciiTheme="majorEastAsia" w:hAnsiTheme="majorEastAsia" w:eastAsiaTheme="majorEastAsia"/>
          <w:szCs w:val="28"/>
        </w:rPr>
        <w:t xml:space="preserve"> </w:t>
      </w:r>
      <w:r>
        <w:rPr>
          <w:rFonts w:hint="eastAsia" w:cs="FangSong_GB2312" w:asciiTheme="majorEastAsia" w:hAnsiTheme="majorEastAsia" w:eastAsiaTheme="majorEastAsia"/>
          <w:szCs w:val="28"/>
        </w:rPr>
        <w:t xml:space="preserve">段昌友  田有华   </w:t>
      </w:r>
    </w:p>
    <w:p>
      <w:pPr>
        <w:autoSpaceDE w:val="0"/>
        <w:autoSpaceDN w:val="0"/>
        <w:spacing w:line="760" w:lineRule="exact"/>
        <w:jc w:val="left"/>
        <w:rPr>
          <w:rFonts w:ascii="宋体" w:hAnsi="宋体"/>
          <w:color w:val="000000"/>
          <w:sz w:val="30"/>
          <w:szCs w:val="30"/>
        </w:rPr>
      </w:pPr>
      <w:r>
        <w:rPr>
          <w:rFonts w:hint="eastAsia" w:ascii="宋体" w:hAnsi="宋体"/>
          <w:color w:val="000000"/>
          <w:sz w:val="30"/>
          <w:szCs w:val="30"/>
        </w:rPr>
        <w:t>编 制 单 位：贵州省交通规划勘察设计研究院股份有限公司</w:t>
      </w:r>
    </w:p>
    <w:p>
      <w:pPr>
        <w:pBdr>
          <w:top w:val="none" w:color="auto" w:sz="0" w:space="1"/>
          <w:left w:val="none" w:color="auto" w:sz="0" w:space="4"/>
          <w:bottom w:val="none" w:color="auto" w:sz="0" w:space="1"/>
          <w:right w:val="none" w:color="auto" w:sz="0" w:space="4"/>
        </w:pBdr>
        <w:tabs>
          <w:tab w:val="center" w:pos="4153"/>
          <w:tab w:val="right" w:pos="8306"/>
        </w:tabs>
        <w:snapToGrid w:val="0"/>
        <w:spacing w:line="570" w:lineRule="exact"/>
        <w:rPr>
          <w:rFonts w:ascii="FangSong_GB2312" w:hAnsi="FangSong_GB2312" w:eastAsia="FangSong_GB2312" w:cs="FangSong_GB2312"/>
          <w:sz w:val="32"/>
          <w:szCs w:val="32"/>
        </w:rPr>
      </w:pPr>
      <w:r>
        <w:rPr>
          <w:rFonts w:hint="eastAsia" w:ascii="宋体" w:hAnsi="宋体"/>
          <w:color w:val="000000"/>
          <w:sz w:val="30"/>
          <w:szCs w:val="30"/>
        </w:rPr>
        <w:t>参 编 人 员：</w:t>
      </w:r>
    </w:p>
    <w:p>
      <w:pPr>
        <w:autoSpaceDE w:val="0"/>
        <w:autoSpaceDN w:val="0"/>
        <w:adjustRightInd w:val="0"/>
        <w:snapToGrid w:val="0"/>
        <w:jc w:val="center"/>
        <w:rPr>
          <w:rFonts w:ascii="宋体" w:hAnsi="宋体" w:cs="宋体"/>
          <w:b/>
          <w:bCs/>
          <w:kern w:val="0"/>
          <w:szCs w:val="28"/>
        </w:rPr>
      </w:pPr>
      <w:r>
        <w:rPr>
          <w:rFonts w:hint="eastAsia" w:ascii="宋体" w:hAnsi="宋体" w:cs="宋体"/>
          <w:b/>
          <w:bCs/>
          <w:kern w:val="0"/>
          <w:szCs w:val="28"/>
        </w:rPr>
        <w:t>主要参与人员名单</w:t>
      </w:r>
    </w:p>
    <w:tbl>
      <w:tblPr>
        <w:tblStyle w:val="19"/>
        <w:tblW w:w="9129" w:type="dxa"/>
        <w:jc w:val="center"/>
        <w:tblBorders>
          <w:top w:val="double" w:color="auto" w:sz="4" w:space="0"/>
          <w:left w:val="double" w:color="auto" w:sz="4" w:space="0"/>
          <w:bottom w:val="double" w:color="auto" w:sz="4" w:space="0"/>
          <w:right w:val="double" w:color="auto" w:sz="4" w:space="0"/>
          <w:insideH w:val="double" w:color="auto" w:sz="4" w:space="0"/>
          <w:insideV w:val="single" w:color="auto" w:sz="6" w:space="0"/>
        </w:tblBorders>
        <w:tblLayout w:type="autofit"/>
        <w:tblCellMar>
          <w:top w:w="0" w:type="dxa"/>
          <w:left w:w="108" w:type="dxa"/>
          <w:bottom w:w="0" w:type="dxa"/>
          <w:right w:w="108" w:type="dxa"/>
        </w:tblCellMar>
      </w:tblPr>
      <w:tblGrid>
        <w:gridCol w:w="1062"/>
        <w:gridCol w:w="1572"/>
        <w:gridCol w:w="3608"/>
        <w:gridCol w:w="2887"/>
      </w:tblGrid>
      <w:tr>
        <w:tblPrEx>
          <w:tblBorders>
            <w:top w:val="double" w:color="auto" w:sz="4" w:space="0"/>
            <w:left w:val="double" w:color="auto" w:sz="4" w:space="0"/>
            <w:bottom w:val="double" w:color="auto" w:sz="4" w:space="0"/>
            <w:right w:val="double" w:color="auto" w:sz="4" w:space="0"/>
            <w:insideH w:val="double" w:color="auto" w:sz="4" w:space="0"/>
            <w:insideV w:val="single" w:color="auto" w:sz="6" w:space="0"/>
          </w:tblBorders>
          <w:tblCellMar>
            <w:top w:w="0" w:type="dxa"/>
            <w:left w:w="108" w:type="dxa"/>
            <w:bottom w:w="0" w:type="dxa"/>
            <w:right w:w="108" w:type="dxa"/>
          </w:tblCellMar>
        </w:tblPrEx>
        <w:trPr>
          <w:trHeight w:val="524" w:hRule="exact"/>
          <w:jc w:val="center"/>
        </w:trPr>
        <w:tc>
          <w:tcPr>
            <w:tcW w:w="1062" w:type="dxa"/>
            <w:shd w:val="clear" w:color="auto" w:fill="auto"/>
            <w:vAlign w:val="center"/>
          </w:tcPr>
          <w:p>
            <w:pPr>
              <w:autoSpaceDE w:val="0"/>
              <w:autoSpaceDN w:val="0"/>
              <w:adjustRightInd w:val="0"/>
              <w:snapToGrid w:val="0"/>
              <w:spacing w:line="240" w:lineRule="auto"/>
              <w:jc w:val="center"/>
              <w:rPr>
                <w:rFonts w:ascii="宋体" w:hAnsi="宋体" w:cs="宋体"/>
                <w:b/>
                <w:bCs/>
                <w:kern w:val="0"/>
                <w:sz w:val="24"/>
                <w:lang w:eastAsia="en-US"/>
              </w:rPr>
            </w:pPr>
            <w:r>
              <w:rPr>
                <w:rFonts w:hint="eastAsia" w:ascii="宋体" w:hAnsi="宋体" w:cs="宋体"/>
                <w:b/>
                <w:bCs/>
                <w:kern w:val="0"/>
                <w:sz w:val="24"/>
                <w:lang w:eastAsia="en-US"/>
              </w:rPr>
              <w:t>序号</w:t>
            </w:r>
          </w:p>
        </w:tc>
        <w:tc>
          <w:tcPr>
            <w:tcW w:w="1572" w:type="dxa"/>
            <w:shd w:val="clear" w:color="auto" w:fill="auto"/>
            <w:vAlign w:val="center"/>
          </w:tcPr>
          <w:p>
            <w:pPr>
              <w:autoSpaceDE w:val="0"/>
              <w:autoSpaceDN w:val="0"/>
              <w:adjustRightInd w:val="0"/>
              <w:snapToGrid w:val="0"/>
              <w:spacing w:line="240" w:lineRule="auto"/>
              <w:jc w:val="center"/>
              <w:rPr>
                <w:rFonts w:ascii="宋体" w:hAnsi="宋体" w:cs="宋体"/>
                <w:b/>
                <w:bCs/>
                <w:kern w:val="0"/>
                <w:sz w:val="24"/>
                <w:lang w:eastAsia="en-US"/>
              </w:rPr>
            </w:pPr>
            <w:r>
              <w:rPr>
                <w:rFonts w:hint="eastAsia" w:ascii="宋体" w:hAnsi="宋体" w:cs="宋体"/>
                <w:b/>
                <w:bCs/>
                <w:kern w:val="0"/>
                <w:sz w:val="24"/>
                <w:lang w:eastAsia="en-US"/>
              </w:rPr>
              <w:t xml:space="preserve">姓 </w:t>
            </w:r>
            <w:r>
              <w:rPr>
                <w:rFonts w:ascii="宋体" w:hAnsi="宋体" w:cs="宋体"/>
                <w:b/>
                <w:bCs/>
                <w:kern w:val="0"/>
                <w:sz w:val="24"/>
                <w:lang w:eastAsia="en-US"/>
              </w:rPr>
              <w:t xml:space="preserve"> </w:t>
            </w:r>
            <w:r>
              <w:rPr>
                <w:rFonts w:hint="eastAsia" w:ascii="宋体" w:hAnsi="宋体" w:cs="宋体"/>
                <w:b/>
                <w:bCs/>
                <w:kern w:val="0"/>
                <w:sz w:val="24"/>
                <w:lang w:eastAsia="en-US"/>
              </w:rPr>
              <w:t>名</w:t>
            </w:r>
          </w:p>
        </w:tc>
        <w:tc>
          <w:tcPr>
            <w:tcW w:w="3608" w:type="dxa"/>
            <w:shd w:val="clear" w:color="auto" w:fill="auto"/>
            <w:vAlign w:val="center"/>
          </w:tcPr>
          <w:p>
            <w:pPr>
              <w:autoSpaceDE w:val="0"/>
              <w:autoSpaceDN w:val="0"/>
              <w:adjustRightInd w:val="0"/>
              <w:snapToGrid w:val="0"/>
              <w:spacing w:line="240" w:lineRule="auto"/>
              <w:jc w:val="center"/>
              <w:rPr>
                <w:rFonts w:ascii="宋体" w:hAnsi="宋体" w:cs="宋体"/>
                <w:b/>
                <w:bCs/>
                <w:kern w:val="0"/>
                <w:sz w:val="24"/>
                <w:lang w:eastAsia="en-US"/>
              </w:rPr>
            </w:pPr>
            <w:r>
              <w:rPr>
                <w:rFonts w:hint="eastAsia" w:ascii="宋体" w:hAnsi="宋体" w:cs="宋体"/>
                <w:b/>
                <w:bCs/>
                <w:kern w:val="0"/>
                <w:sz w:val="24"/>
                <w:lang w:eastAsia="en-US"/>
              </w:rPr>
              <w:t>职务职称</w:t>
            </w:r>
          </w:p>
        </w:tc>
        <w:tc>
          <w:tcPr>
            <w:tcW w:w="2887" w:type="dxa"/>
            <w:shd w:val="clear" w:color="auto" w:fill="auto"/>
            <w:vAlign w:val="center"/>
          </w:tcPr>
          <w:p>
            <w:pPr>
              <w:autoSpaceDE w:val="0"/>
              <w:autoSpaceDN w:val="0"/>
              <w:adjustRightInd w:val="0"/>
              <w:snapToGrid w:val="0"/>
              <w:spacing w:line="240" w:lineRule="auto"/>
              <w:jc w:val="center"/>
              <w:rPr>
                <w:rFonts w:ascii="宋体" w:hAnsi="宋体" w:cs="宋体"/>
                <w:b/>
                <w:bCs/>
                <w:kern w:val="0"/>
                <w:sz w:val="24"/>
                <w:lang w:eastAsia="en-US"/>
              </w:rPr>
            </w:pPr>
            <w:r>
              <w:rPr>
                <w:rFonts w:hint="eastAsia" w:ascii="宋体" w:hAnsi="宋体" w:cs="宋体"/>
                <w:b/>
                <w:bCs/>
                <w:kern w:val="0"/>
                <w:sz w:val="24"/>
                <w:lang w:eastAsia="en-US"/>
              </w:rPr>
              <w:t>工作内容</w:t>
            </w:r>
          </w:p>
        </w:tc>
      </w:tr>
      <w:tr>
        <w:tblPrEx>
          <w:tblBorders>
            <w:top w:val="double" w:color="auto" w:sz="4" w:space="0"/>
            <w:left w:val="double" w:color="auto" w:sz="4" w:space="0"/>
            <w:bottom w:val="double" w:color="auto" w:sz="4" w:space="0"/>
            <w:right w:val="double" w:color="auto" w:sz="4" w:space="0"/>
            <w:insideH w:val="double" w:color="auto" w:sz="4" w:space="0"/>
            <w:insideV w:val="single" w:color="auto" w:sz="6" w:space="0"/>
          </w:tblBorders>
          <w:tblCellMar>
            <w:top w:w="0" w:type="dxa"/>
            <w:left w:w="108" w:type="dxa"/>
            <w:bottom w:w="0" w:type="dxa"/>
            <w:right w:w="108" w:type="dxa"/>
          </w:tblCellMar>
        </w:tblPrEx>
        <w:trPr>
          <w:trHeight w:val="844" w:hRule="exact"/>
          <w:jc w:val="center"/>
        </w:trPr>
        <w:tc>
          <w:tcPr>
            <w:tcW w:w="1062"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lang w:eastAsia="en-US"/>
              </w:rPr>
            </w:pPr>
            <w:r>
              <w:rPr>
                <w:rFonts w:hint="eastAsia" w:ascii="宋体" w:hAnsi="宋体" w:cs="宋体"/>
                <w:bCs/>
                <w:kern w:val="0"/>
                <w:sz w:val="24"/>
                <w:lang w:eastAsia="en-US"/>
              </w:rPr>
              <w:t>1</w:t>
            </w:r>
          </w:p>
        </w:tc>
        <w:tc>
          <w:tcPr>
            <w:tcW w:w="1572"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lang w:eastAsia="en-US"/>
              </w:rPr>
            </w:pPr>
            <w:r>
              <w:rPr>
                <w:rFonts w:hint="eastAsia" w:ascii="宋体" w:hAnsi="宋体" w:cs="宋体"/>
                <w:bCs/>
                <w:kern w:val="0"/>
                <w:sz w:val="24"/>
                <w:lang w:eastAsia="en-US"/>
              </w:rPr>
              <w:t>刘宁波</w:t>
            </w:r>
          </w:p>
        </w:tc>
        <w:tc>
          <w:tcPr>
            <w:tcW w:w="3608"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rPr>
            </w:pPr>
            <w:r>
              <w:rPr>
                <w:rFonts w:hint="eastAsia" w:ascii="宋体" w:hAnsi="宋体" w:cs="宋体"/>
                <w:bCs/>
                <w:kern w:val="0"/>
                <w:sz w:val="24"/>
              </w:rPr>
              <w:t>规划咨询分院院长/副总工程师/研究员</w:t>
            </w:r>
            <w:r>
              <w:rPr>
                <w:rFonts w:hint="eastAsia" w:ascii="宋体" w:hAnsi="宋体" w:cs="宋体"/>
                <w:kern w:val="0"/>
                <w:sz w:val="24"/>
              </w:rPr>
              <w:t>/交通部造价工程师</w:t>
            </w:r>
          </w:p>
        </w:tc>
        <w:tc>
          <w:tcPr>
            <w:tcW w:w="2887"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lang w:eastAsia="en-US"/>
              </w:rPr>
            </w:pPr>
            <w:r>
              <w:rPr>
                <w:rFonts w:hint="eastAsia" w:ascii="宋体" w:hAnsi="宋体" w:cs="宋体"/>
                <w:bCs/>
                <w:kern w:val="0"/>
                <w:sz w:val="24"/>
                <w:lang w:eastAsia="en-US"/>
              </w:rPr>
              <w:t>报告审核</w:t>
            </w:r>
          </w:p>
        </w:tc>
      </w:tr>
      <w:tr>
        <w:tblPrEx>
          <w:tblBorders>
            <w:top w:val="double" w:color="auto" w:sz="4" w:space="0"/>
            <w:left w:val="double" w:color="auto" w:sz="4" w:space="0"/>
            <w:bottom w:val="double" w:color="auto" w:sz="4" w:space="0"/>
            <w:right w:val="double" w:color="auto" w:sz="4" w:space="0"/>
            <w:insideH w:val="double" w:color="auto" w:sz="4" w:space="0"/>
            <w:insideV w:val="single" w:color="auto" w:sz="6" w:space="0"/>
          </w:tblBorders>
          <w:tblCellMar>
            <w:top w:w="0" w:type="dxa"/>
            <w:left w:w="108" w:type="dxa"/>
            <w:bottom w:w="0" w:type="dxa"/>
            <w:right w:w="108" w:type="dxa"/>
          </w:tblCellMar>
        </w:tblPrEx>
        <w:trPr>
          <w:trHeight w:val="714" w:hRule="exact"/>
          <w:jc w:val="center"/>
        </w:trPr>
        <w:tc>
          <w:tcPr>
            <w:tcW w:w="1062"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lang w:eastAsia="en-US"/>
              </w:rPr>
            </w:pPr>
            <w:r>
              <w:rPr>
                <w:rFonts w:hint="eastAsia" w:ascii="宋体" w:hAnsi="宋体" w:cs="宋体"/>
                <w:bCs/>
                <w:kern w:val="0"/>
                <w:sz w:val="24"/>
                <w:lang w:eastAsia="en-US"/>
              </w:rPr>
              <w:t>2</w:t>
            </w:r>
          </w:p>
        </w:tc>
        <w:tc>
          <w:tcPr>
            <w:tcW w:w="1572"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lang w:eastAsia="en-US"/>
              </w:rPr>
            </w:pPr>
            <w:r>
              <w:rPr>
                <w:rFonts w:hint="eastAsia" w:ascii="宋体" w:hAnsi="宋体" w:cs="宋体"/>
                <w:bCs/>
                <w:kern w:val="0"/>
                <w:sz w:val="24"/>
                <w:lang w:eastAsia="en-US"/>
              </w:rPr>
              <w:t>龙 森</w:t>
            </w:r>
          </w:p>
        </w:tc>
        <w:tc>
          <w:tcPr>
            <w:tcW w:w="3608"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rPr>
            </w:pPr>
            <w:r>
              <w:rPr>
                <w:rFonts w:hint="eastAsia" w:ascii="宋体" w:hAnsi="宋体" w:cs="宋体"/>
                <w:bCs/>
                <w:kern w:val="0"/>
                <w:sz w:val="24"/>
              </w:rPr>
              <w:t>规划咨询分院总工程师/</w:t>
            </w:r>
          </w:p>
          <w:p>
            <w:pPr>
              <w:autoSpaceDE w:val="0"/>
              <w:autoSpaceDN w:val="0"/>
              <w:adjustRightInd w:val="0"/>
              <w:snapToGrid w:val="0"/>
              <w:spacing w:line="240" w:lineRule="auto"/>
              <w:jc w:val="center"/>
              <w:rPr>
                <w:rFonts w:ascii="宋体" w:hAnsi="宋体" w:cs="宋体"/>
                <w:bCs/>
                <w:kern w:val="0"/>
                <w:sz w:val="24"/>
              </w:rPr>
            </w:pPr>
            <w:r>
              <w:rPr>
                <w:rFonts w:hint="eastAsia" w:ascii="宋体" w:hAnsi="宋体" w:cs="宋体"/>
                <w:bCs/>
                <w:kern w:val="0"/>
                <w:sz w:val="24"/>
              </w:rPr>
              <w:t>研究员</w:t>
            </w:r>
          </w:p>
        </w:tc>
        <w:tc>
          <w:tcPr>
            <w:tcW w:w="2887"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lang w:eastAsia="en-US"/>
              </w:rPr>
            </w:pPr>
            <w:r>
              <w:rPr>
                <w:rFonts w:hint="eastAsia" w:ascii="宋体" w:hAnsi="宋体" w:cs="宋体"/>
                <w:bCs/>
                <w:kern w:val="0"/>
                <w:sz w:val="24"/>
                <w:lang w:eastAsia="en-US"/>
              </w:rPr>
              <w:t>报告审核</w:t>
            </w:r>
          </w:p>
        </w:tc>
      </w:tr>
      <w:tr>
        <w:tblPrEx>
          <w:tblBorders>
            <w:top w:val="double" w:color="auto" w:sz="4" w:space="0"/>
            <w:left w:val="double" w:color="auto" w:sz="4" w:space="0"/>
            <w:bottom w:val="double" w:color="auto" w:sz="4" w:space="0"/>
            <w:right w:val="double" w:color="auto" w:sz="4" w:space="0"/>
            <w:insideH w:val="double" w:color="auto" w:sz="4" w:space="0"/>
            <w:insideV w:val="single" w:color="auto" w:sz="6" w:space="0"/>
          </w:tblBorders>
          <w:tblCellMar>
            <w:top w:w="0" w:type="dxa"/>
            <w:left w:w="108" w:type="dxa"/>
            <w:bottom w:w="0" w:type="dxa"/>
            <w:right w:w="108" w:type="dxa"/>
          </w:tblCellMar>
        </w:tblPrEx>
        <w:trPr>
          <w:trHeight w:val="710" w:hRule="exact"/>
          <w:jc w:val="center"/>
        </w:trPr>
        <w:tc>
          <w:tcPr>
            <w:tcW w:w="1062"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lang w:eastAsia="en-US"/>
              </w:rPr>
            </w:pPr>
            <w:r>
              <w:rPr>
                <w:rFonts w:ascii="宋体" w:hAnsi="宋体" w:cs="宋体"/>
                <w:bCs/>
                <w:kern w:val="0"/>
                <w:sz w:val="24"/>
                <w:lang w:eastAsia="en-US"/>
              </w:rPr>
              <w:t>3</w:t>
            </w:r>
          </w:p>
        </w:tc>
        <w:tc>
          <w:tcPr>
            <w:tcW w:w="1572"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rPr>
            </w:pPr>
            <w:r>
              <w:rPr>
                <w:rFonts w:hint="eastAsia" w:ascii="宋体" w:hAnsi="宋体" w:cs="宋体"/>
                <w:bCs/>
                <w:kern w:val="0"/>
                <w:sz w:val="24"/>
              </w:rPr>
              <w:t>朱艺焱</w:t>
            </w:r>
          </w:p>
        </w:tc>
        <w:tc>
          <w:tcPr>
            <w:tcW w:w="3608"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lang w:eastAsia="en-US"/>
              </w:rPr>
            </w:pPr>
            <w:r>
              <w:rPr>
                <w:rFonts w:hint="eastAsia" w:ascii="宋体" w:hAnsi="宋体" w:cs="宋体"/>
                <w:bCs/>
                <w:kern w:val="0"/>
                <w:sz w:val="24"/>
                <w:lang w:eastAsia="en-US"/>
              </w:rPr>
              <w:t>工程师</w:t>
            </w:r>
          </w:p>
        </w:tc>
        <w:tc>
          <w:tcPr>
            <w:tcW w:w="2887"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lang w:eastAsia="en-US"/>
              </w:rPr>
            </w:pPr>
            <w:r>
              <w:rPr>
                <w:rFonts w:hint="eastAsia" w:ascii="宋体" w:hAnsi="宋体" w:cs="宋体"/>
                <w:bCs/>
                <w:kern w:val="0"/>
                <w:sz w:val="24"/>
                <w:lang w:eastAsia="en-US"/>
              </w:rPr>
              <w:t>项目负责人</w:t>
            </w:r>
          </w:p>
        </w:tc>
      </w:tr>
      <w:tr>
        <w:tblPrEx>
          <w:tblBorders>
            <w:top w:val="double" w:color="auto" w:sz="4" w:space="0"/>
            <w:left w:val="double" w:color="auto" w:sz="4" w:space="0"/>
            <w:bottom w:val="double" w:color="auto" w:sz="4" w:space="0"/>
            <w:right w:val="double" w:color="auto" w:sz="4" w:space="0"/>
            <w:insideH w:val="double" w:color="auto" w:sz="4" w:space="0"/>
            <w:insideV w:val="single" w:color="auto" w:sz="6" w:space="0"/>
          </w:tblBorders>
          <w:tblCellMar>
            <w:top w:w="0" w:type="dxa"/>
            <w:left w:w="108" w:type="dxa"/>
            <w:bottom w:w="0" w:type="dxa"/>
            <w:right w:w="108" w:type="dxa"/>
          </w:tblCellMar>
        </w:tblPrEx>
        <w:trPr>
          <w:trHeight w:val="848" w:hRule="exact"/>
          <w:jc w:val="center"/>
        </w:trPr>
        <w:tc>
          <w:tcPr>
            <w:tcW w:w="1062"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lang w:eastAsia="en-US"/>
              </w:rPr>
            </w:pPr>
            <w:r>
              <w:rPr>
                <w:rFonts w:ascii="宋体" w:hAnsi="宋体" w:cs="宋体"/>
                <w:bCs/>
                <w:kern w:val="0"/>
                <w:sz w:val="24"/>
                <w:lang w:eastAsia="en-US"/>
              </w:rPr>
              <w:t>4</w:t>
            </w:r>
          </w:p>
        </w:tc>
        <w:tc>
          <w:tcPr>
            <w:tcW w:w="1572"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lang w:eastAsia="en-US"/>
              </w:rPr>
            </w:pPr>
            <w:r>
              <w:rPr>
                <w:rFonts w:hint="eastAsia" w:ascii="宋体" w:hAnsi="宋体" w:cs="宋体"/>
                <w:bCs/>
                <w:kern w:val="0"/>
                <w:sz w:val="24"/>
                <w:lang w:eastAsia="en-US"/>
              </w:rPr>
              <w:t>苗壮</w:t>
            </w:r>
          </w:p>
        </w:tc>
        <w:tc>
          <w:tcPr>
            <w:tcW w:w="3608"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rPr>
            </w:pPr>
            <w:r>
              <w:rPr>
                <w:rFonts w:hint="eastAsia" w:ascii="宋体" w:hAnsi="宋体" w:cs="宋体"/>
                <w:bCs/>
                <w:kern w:val="0"/>
                <w:sz w:val="24"/>
              </w:rPr>
              <w:t>规划咨询分院主任工程师/</w:t>
            </w:r>
            <w:r>
              <w:rPr>
                <w:rFonts w:hint="eastAsia" w:ascii="宋体" w:hAnsi="宋体" w:cs="宋体"/>
                <w:kern w:val="0"/>
                <w:sz w:val="24"/>
              </w:rPr>
              <w:t>高级工程师</w:t>
            </w:r>
          </w:p>
        </w:tc>
        <w:tc>
          <w:tcPr>
            <w:tcW w:w="2887"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rPr>
            </w:pPr>
            <w:r>
              <w:rPr>
                <w:rFonts w:hint="eastAsia" w:ascii="宋体" w:hAnsi="宋体" w:cs="宋体"/>
                <w:bCs/>
                <w:kern w:val="0"/>
                <w:sz w:val="24"/>
              </w:rPr>
              <w:t>编写指导思想和发展目标以及报告复核</w:t>
            </w:r>
          </w:p>
        </w:tc>
      </w:tr>
      <w:tr>
        <w:tblPrEx>
          <w:tblBorders>
            <w:top w:val="double" w:color="auto" w:sz="4" w:space="0"/>
            <w:left w:val="double" w:color="auto" w:sz="4" w:space="0"/>
            <w:bottom w:val="double" w:color="auto" w:sz="4" w:space="0"/>
            <w:right w:val="double" w:color="auto" w:sz="4" w:space="0"/>
            <w:insideH w:val="double" w:color="auto" w:sz="4" w:space="0"/>
            <w:insideV w:val="single" w:color="auto" w:sz="6" w:space="0"/>
          </w:tblBorders>
          <w:tblCellMar>
            <w:top w:w="0" w:type="dxa"/>
            <w:left w:w="108" w:type="dxa"/>
            <w:bottom w:w="0" w:type="dxa"/>
            <w:right w:w="108" w:type="dxa"/>
          </w:tblCellMar>
        </w:tblPrEx>
        <w:trPr>
          <w:trHeight w:val="846" w:hRule="exact"/>
          <w:jc w:val="center"/>
        </w:trPr>
        <w:tc>
          <w:tcPr>
            <w:tcW w:w="1062"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lang w:eastAsia="en-US"/>
              </w:rPr>
            </w:pPr>
            <w:r>
              <w:rPr>
                <w:rFonts w:ascii="宋体" w:hAnsi="宋体" w:cs="宋体"/>
                <w:bCs/>
                <w:kern w:val="0"/>
                <w:sz w:val="24"/>
                <w:lang w:eastAsia="en-US"/>
              </w:rPr>
              <w:t>5</w:t>
            </w:r>
          </w:p>
        </w:tc>
        <w:tc>
          <w:tcPr>
            <w:tcW w:w="1572"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rPr>
            </w:pPr>
            <w:r>
              <w:rPr>
                <w:rFonts w:hint="eastAsia" w:ascii="宋体" w:hAnsi="宋体" w:cs="宋体"/>
                <w:bCs/>
                <w:kern w:val="0"/>
                <w:sz w:val="24"/>
              </w:rPr>
              <w:t>杨婧</w:t>
            </w:r>
          </w:p>
        </w:tc>
        <w:tc>
          <w:tcPr>
            <w:tcW w:w="3608"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lang w:eastAsia="en-US"/>
              </w:rPr>
            </w:pPr>
            <w:r>
              <w:rPr>
                <w:rFonts w:hint="eastAsia" w:ascii="宋体" w:hAnsi="宋体" w:cs="宋体"/>
                <w:bCs/>
                <w:kern w:val="0"/>
                <w:sz w:val="24"/>
                <w:lang w:eastAsia="en-US"/>
              </w:rPr>
              <w:t>高级工程师</w:t>
            </w:r>
          </w:p>
        </w:tc>
        <w:tc>
          <w:tcPr>
            <w:tcW w:w="2887"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rPr>
            </w:pPr>
            <w:r>
              <w:rPr>
                <w:rFonts w:hint="eastAsia" w:ascii="宋体" w:hAnsi="宋体" w:cs="宋体"/>
                <w:bCs/>
                <w:kern w:val="0"/>
                <w:sz w:val="24"/>
              </w:rPr>
              <w:t>编写机遇与挑战部分及报告复核</w:t>
            </w:r>
          </w:p>
        </w:tc>
      </w:tr>
      <w:tr>
        <w:tblPrEx>
          <w:tblBorders>
            <w:top w:val="double" w:color="auto" w:sz="4" w:space="0"/>
            <w:left w:val="double" w:color="auto" w:sz="4" w:space="0"/>
            <w:bottom w:val="double" w:color="auto" w:sz="4" w:space="0"/>
            <w:right w:val="double" w:color="auto" w:sz="4" w:space="0"/>
            <w:insideH w:val="double" w:color="auto" w:sz="4" w:space="0"/>
            <w:insideV w:val="single" w:color="auto" w:sz="6" w:space="0"/>
          </w:tblBorders>
          <w:tblCellMar>
            <w:top w:w="0" w:type="dxa"/>
            <w:left w:w="108" w:type="dxa"/>
            <w:bottom w:w="0" w:type="dxa"/>
            <w:right w:w="108" w:type="dxa"/>
          </w:tblCellMar>
        </w:tblPrEx>
        <w:trPr>
          <w:trHeight w:val="858" w:hRule="exact"/>
          <w:jc w:val="center"/>
        </w:trPr>
        <w:tc>
          <w:tcPr>
            <w:tcW w:w="1062"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lang w:eastAsia="en-US"/>
              </w:rPr>
            </w:pPr>
            <w:r>
              <w:rPr>
                <w:rFonts w:ascii="宋体" w:hAnsi="宋体" w:cs="宋体"/>
                <w:bCs/>
                <w:kern w:val="0"/>
                <w:sz w:val="24"/>
                <w:lang w:eastAsia="en-US"/>
              </w:rPr>
              <w:t>6</w:t>
            </w:r>
          </w:p>
        </w:tc>
        <w:tc>
          <w:tcPr>
            <w:tcW w:w="1572"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lang w:eastAsia="en-US"/>
              </w:rPr>
            </w:pPr>
            <w:r>
              <w:rPr>
                <w:rFonts w:hint="eastAsia" w:ascii="宋体" w:hAnsi="宋体" w:cs="宋体"/>
                <w:bCs/>
                <w:kern w:val="0"/>
                <w:sz w:val="24"/>
                <w:lang w:eastAsia="en-US"/>
              </w:rPr>
              <w:t>周文杰</w:t>
            </w:r>
          </w:p>
        </w:tc>
        <w:tc>
          <w:tcPr>
            <w:tcW w:w="3608"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lang w:eastAsia="en-US"/>
              </w:rPr>
            </w:pPr>
            <w:r>
              <w:rPr>
                <w:rFonts w:hint="eastAsia" w:ascii="宋体" w:hAnsi="宋体" w:cs="宋体"/>
                <w:bCs/>
                <w:kern w:val="0"/>
                <w:sz w:val="24"/>
                <w:lang w:eastAsia="en-US"/>
              </w:rPr>
              <w:t>工程师</w:t>
            </w:r>
          </w:p>
        </w:tc>
        <w:tc>
          <w:tcPr>
            <w:tcW w:w="2887"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rPr>
            </w:pPr>
            <w:r>
              <w:rPr>
                <w:rFonts w:hint="eastAsia" w:ascii="宋体" w:hAnsi="宋体" w:cs="宋体"/>
                <w:bCs/>
                <w:kern w:val="0"/>
                <w:sz w:val="24"/>
              </w:rPr>
              <w:t>参与内部</w:t>
            </w:r>
            <w:r>
              <w:rPr>
                <w:rFonts w:ascii="宋体" w:hAnsi="宋体" w:cs="宋体"/>
                <w:bCs/>
                <w:kern w:val="0"/>
                <w:sz w:val="24"/>
              </w:rPr>
              <w:t>讨论</w:t>
            </w:r>
            <w:r>
              <w:rPr>
                <w:rFonts w:hint="eastAsia" w:ascii="宋体" w:hAnsi="宋体" w:cs="宋体"/>
                <w:bCs/>
                <w:kern w:val="0"/>
                <w:sz w:val="24"/>
              </w:rPr>
              <w:t>、形势分析</w:t>
            </w:r>
          </w:p>
        </w:tc>
      </w:tr>
      <w:tr>
        <w:tblPrEx>
          <w:tblBorders>
            <w:top w:val="double" w:color="auto" w:sz="4" w:space="0"/>
            <w:left w:val="double" w:color="auto" w:sz="4" w:space="0"/>
            <w:bottom w:val="double" w:color="auto" w:sz="4" w:space="0"/>
            <w:right w:val="double" w:color="auto" w:sz="4" w:space="0"/>
            <w:insideH w:val="double" w:color="auto" w:sz="4" w:space="0"/>
            <w:insideV w:val="single" w:color="auto" w:sz="6" w:space="0"/>
          </w:tblBorders>
          <w:tblCellMar>
            <w:top w:w="0" w:type="dxa"/>
            <w:left w:w="108" w:type="dxa"/>
            <w:bottom w:w="0" w:type="dxa"/>
            <w:right w:w="108" w:type="dxa"/>
          </w:tblCellMar>
        </w:tblPrEx>
        <w:trPr>
          <w:trHeight w:val="856" w:hRule="exact"/>
          <w:jc w:val="center"/>
        </w:trPr>
        <w:tc>
          <w:tcPr>
            <w:tcW w:w="1062"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lang w:eastAsia="en-US"/>
              </w:rPr>
            </w:pPr>
            <w:r>
              <w:rPr>
                <w:rFonts w:ascii="宋体" w:hAnsi="宋体" w:cs="宋体"/>
                <w:bCs/>
                <w:kern w:val="0"/>
                <w:sz w:val="24"/>
                <w:lang w:eastAsia="en-US"/>
              </w:rPr>
              <w:t>7</w:t>
            </w:r>
          </w:p>
        </w:tc>
        <w:tc>
          <w:tcPr>
            <w:tcW w:w="1572"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lang w:eastAsia="en-US"/>
              </w:rPr>
            </w:pPr>
            <w:r>
              <w:rPr>
                <w:rFonts w:hint="eastAsia" w:ascii="宋体" w:hAnsi="宋体" w:cs="宋体"/>
                <w:bCs/>
                <w:kern w:val="0"/>
                <w:sz w:val="24"/>
                <w:lang w:eastAsia="en-US"/>
              </w:rPr>
              <w:t>朱勇</w:t>
            </w:r>
          </w:p>
        </w:tc>
        <w:tc>
          <w:tcPr>
            <w:tcW w:w="3608"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lang w:eastAsia="en-US"/>
              </w:rPr>
            </w:pPr>
            <w:r>
              <w:rPr>
                <w:rFonts w:hint="eastAsia" w:ascii="宋体" w:hAnsi="宋体" w:cs="宋体"/>
                <w:bCs/>
                <w:kern w:val="0"/>
                <w:sz w:val="24"/>
                <w:lang w:eastAsia="en-US"/>
              </w:rPr>
              <w:t>工程师</w:t>
            </w:r>
          </w:p>
        </w:tc>
        <w:tc>
          <w:tcPr>
            <w:tcW w:w="2887"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rPr>
            </w:pPr>
            <w:r>
              <w:rPr>
                <w:rFonts w:hint="eastAsia" w:ascii="宋体" w:hAnsi="宋体" w:cs="宋体"/>
                <w:bCs/>
                <w:kern w:val="0"/>
                <w:sz w:val="24"/>
              </w:rPr>
              <w:t>编写现状分析和存在问题</w:t>
            </w:r>
          </w:p>
        </w:tc>
      </w:tr>
      <w:tr>
        <w:tblPrEx>
          <w:tblBorders>
            <w:top w:val="double" w:color="auto" w:sz="4" w:space="0"/>
            <w:left w:val="double" w:color="auto" w:sz="4" w:space="0"/>
            <w:bottom w:val="double" w:color="auto" w:sz="4" w:space="0"/>
            <w:right w:val="double" w:color="auto" w:sz="4" w:space="0"/>
            <w:insideH w:val="double" w:color="auto" w:sz="4" w:space="0"/>
            <w:insideV w:val="single" w:color="auto" w:sz="6" w:space="0"/>
          </w:tblBorders>
          <w:tblCellMar>
            <w:top w:w="0" w:type="dxa"/>
            <w:left w:w="108" w:type="dxa"/>
            <w:bottom w:w="0" w:type="dxa"/>
            <w:right w:w="108" w:type="dxa"/>
          </w:tblCellMar>
        </w:tblPrEx>
        <w:trPr>
          <w:trHeight w:val="854" w:hRule="exact"/>
          <w:jc w:val="center"/>
        </w:trPr>
        <w:tc>
          <w:tcPr>
            <w:tcW w:w="1062"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lang w:eastAsia="en-US"/>
              </w:rPr>
            </w:pPr>
            <w:r>
              <w:rPr>
                <w:rFonts w:ascii="宋体" w:hAnsi="宋体" w:cs="宋体"/>
                <w:bCs/>
                <w:kern w:val="0"/>
                <w:sz w:val="24"/>
                <w:lang w:eastAsia="en-US"/>
              </w:rPr>
              <w:t>8</w:t>
            </w:r>
          </w:p>
        </w:tc>
        <w:tc>
          <w:tcPr>
            <w:tcW w:w="1572"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rPr>
            </w:pPr>
            <w:r>
              <w:rPr>
                <w:rFonts w:hint="eastAsia" w:ascii="宋体" w:hAnsi="宋体" w:cs="宋体"/>
                <w:bCs/>
                <w:kern w:val="0"/>
                <w:sz w:val="24"/>
              </w:rPr>
              <w:t>吕超</w:t>
            </w:r>
          </w:p>
        </w:tc>
        <w:tc>
          <w:tcPr>
            <w:tcW w:w="3608"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lang w:eastAsia="en-US"/>
              </w:rPr>
            </w:pPr>
            <w:r>
              <w:rPr>
                <w:rFonts w:hint="eastAsia" w:ascii="宋体" w:hAnsi="宋体" w:cs="宋体"/>
                <w:kern w:val="0"/>
                <w:sz w:val="24"/>
                <w:lang w:eastAsia="en-US"/>
              </w:rPr>
              <w:t>工程师</w:t>
            </w:r>
          </w:p>
        </w:tc>
        <w:tc>
          <w:tcPr>
            <w:tcW w:w="2887"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rPr>
            </w:pPr>
            <w:r>
              <w:rPr>
                <w:rFonts w:hint="eastAsia" w:ascii="宋体" w:hAnsi="宋体" w:cs="宋体"/>
                <w:bCs/>
                <w:kern w:val="0"/>
                <w:sz w:val="24"/>
              </w:rPr>
              <w:t>整理项目库及资金测算</w:t>
            </w:r>
          </w:p>
        </w:tc>
      </w:tr>
      <w:tr>
        <w:tblPrEx>
          <w:tblBorders>
            <w:top w:val="double" w:color="auto" w:sz="4" w:space="0"/>
            <w:left w:val="double" w:color="auto" w:sz="4" w:space="0"/>
            <w:bottom w:val="double" w:color="auto" w:sz="4" w:space="0"/>
            <w:right w:val="double" w:color="auto" w:sz="4" w:space="0"/>
            <w:insideH w:val="double" w:color="auto" w:sz="4" w:space="0"/>
            <w:insideV w:val="single" w:color="auto" w:sz="6" w:space="0"/>
          </w:tblBorders>
          <w:tblCellMar>
            <w:top w:w="0" w:type="dxa"/>
            <w:left w:w="108" w:type="dxa"/>
            <w:bottom w:w="0" w:type="dxa"/>
            <w:right w:w="108" w:type="dxa"/>
          </w:tblCellMar>
        </w:tblPrEx>
        <w:trPr>
          <w:trHeight w:val="964" w:hRule="exact"/>
          <w:jc w:val="center"/>
        </w:trPr>
        <w:tc>
          <w:tcPr>
            <w:tcW w:w="1062"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rPr>
            </w:pPr>
            <w:r>
              <w:rPr>
                <w:rFonts w:ascii="宋体" w:hAnsi="宋体" w:cs="宋体"/>
                <w:bCs/>
                <w:kern w:val="0"/>
                <w:sz w:val="24"/>
              </w:rPr>
              <w:t>9</w:t>
            </w:r>
          </w:p>
        </w:tc>
        <w:tc>
          <w:tcPr>
            <w:tcW w:w="1572"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rPr>
            </w:pPr>
            <w:r>
              <w:rPr>
                <w:rFonts w:hint="eastAsia" w:ascii="宋体" w:hAnsi="宋体" w:cs="宋体"/>
                <w:bCs/>
                <w:kern w:val="0"/>
                <w:sz w:val="24"/>
              </w:rPr>
              <w:t>陈子含</w:t>
            </w:r>
          </w:p>
        </w:tc>
        <w:tc>
          <w:tcPr>
            <w:tcW w:w="3608" w:type="dxa"/>
            <w:shd w:val="clear" w:color="auto" w:fill="auto"/>
            <w:vAlign w:val="center"/>
          </w:tcPr>
          <w:p>
            <w:pPr>
              <w:autoSpaceDE w:val="0"/>
              <w:autoSpaceDN w:val="0"/>
              <w:adjustRightInd w:val="0"/>
              <w:snapToGrid w:val="0"/>
              <w:spacing w:line="240" w:lineRule="auto"/>
              <w:jc w:val="center"/>
              <w:rPr>
                <w:rFonts w:ascii="宋体" w:hAnsi="宋体" w:cs="宋体"/>
                <w:kern w:val="0"/>
                <w:sz w:val="24"/>
              </w:rPr>
            </w:pPr>
            <w:r>
              <w:rPr>
                <w:rFonts w:hint="eastAsia" w:ascii="宋体" w:hAnsi="宋体" w:cs="宋体"/>
                <w:kern w:val="0"/>
                <w:sz w:val="24"/>
              </w:rPr>
              <w:t xml:space="preserve">助理工程师 </w:t>
            </w:r>
          </w:p>
        </w:tc>
        <w:tc>
          <w:tcPr>
            <w:tcW w:w="2887" w:type="dxa"/>
            <w:shd w:val="clear" w:color="auto" w:fill="auto"/>
            <w:vAlign w:val="center"/>
          </w:tcPr>
          <w:p>
            <w:pPr>
              <w:autoSpaceDE w:val="0"/>
              <w:autoSpaceDN w:val="0"/>
              <w:adjustRightInd w:val="0"/>
              <w:snapToGrid w:val="0"/>
              <w:spacing w:line="240" w:lineRule="auto"/>
              <w:jc w:val="center"/>
              <w:rPr>
                <w:rFonts w:ascii="宋体" w:hAnsi="宋体" w:cs="宋体"/>
                <w:bCs/>
                <w:kern w:val="0"/>
                <w:sz w:val="24"/>
              </w:rPr>
            </w:pPr>
            <w:r>
              <w:rPr>
                <w:rFonts w:hint="eastAsia" w:ascii="宋体" w:hAnsi="宋体" w:cs="宋体"/>
                <w:bCs/>
                <w:kern w:val="0"/>
                <w:sz w:val="24"/>
              </w:rPr>
              <w:t>整理项目库和图纸绘制</w:t>
            </w:r>
          </w:p>
        </w:tc>
      </w:tr>
    </w:tbl>
    <w:p>
      <w:pPr>
        <w:adjustRightInd w:val="0"/>
        <w:snapToGrid w:val="0"/>
        <w:spacing w:before="156" w:beforeLines="50" w:after="312" w:afterLines="100" w:line="240" w:lineRule="auto"/>
        <w:rPr>
          <w:rFonts w:ascii="宋体" w:hAnsi="宋体"/>
          <w:b/>
          <w:bCs/>
          <w:sz w:val="32"/>
          <w:szCs w:val="32"/>
        </w:rPr>
      </w:pPr>
    </w:p>
    <w:sdt>
      <w:sdtPr>
        <w:rPr>
          <w:rFonts w:eastAsia="宋体" w:cs="Times New Roman" w:asciiTheme="majorEastAsia" w:hAnsiTheme="majorEastAsia"/>
          <w:color w:val="auto"/>
          <w:kern w:val="2"/>
          <w:sz w:val="28"/>
          <w:szCs w:val="24"/>
          <w:lang w:val="zh-CN"/>
        </w:rPr>
        <w:id w:val="1621799117"/>
        <w:docPartObj>
          <w:docPartGallery w:val="Table of Contents"/>
          <w:docPartUnique/>
        </w:docPartObj>
      </w:sdtPr>
      <w:sdtEndPr>
        <w:rPr>
          <w:rFonts w:eastAsia="宋体" w:cs="Times New Roman" w:asciiTheme="majorEastAsia" w:hAnsiTheme="majorEastAsia"/>
          <w:b/>
          <w:bCs/>
          <w:color w:val="auto"/>
          <w:kern w:val="2"/>
          <w:sz w:val="24"/>
          <w:szCs w:val="24"/>
          <w:lang w:val="zh-CN"/>
        </w:rPr>
      </w:sdtEndPr>
      <w:sdtContent>
        <w:p>
          <w:pPr>
            <w:pStyle w:val="81"/>
            <w:ind w:right="-1"/>
            <w:jc w:val="center"/>
            <w:rPr>
              <w:rFonts w:asciiTheme="majorEastAsia" w:hAnsiTheme="majorEastAsia"/>
              <w:b/>
              <w:bCs/>
              <w:sz w:val="36"/>
              <w:szCs w:val="36"/>
            </w:rPr>
          </w:pPr>
          <w:r>
            <w:rPr>
              <w:rFonts w:asciiTheme="majorEastAsia" w:hAnsiTheme="majorEastAsia"/>
              <w:b/>
              <w:bCs/>
              <w:sz w:val="36"/>
              <w:szCs w:val="36"/>
              <w:lang w:val="zh-CN"/>
            </w:rPr>
            <w:t>目录</w:t>
          </w:r>
        </w:p>
        <w:p>
          <w:pPr>
            <w:pStyle w:val="16"/>
            <w:tabs>
              <w:tab w:val="right" w:leader="dot" w:pos="8494"/>
            </w:tabs>
            <w:rPr>
              <w:rFonts w:asciiTheme="minorHAnsi" w:hAnsiTheme="minorHAnsi" w:eastAsiaTheme="minorEastAsia" w:cstheme="minorBidi"/>
              <w:b w:val="0"/>
              <w:szCs w:val="22"/>
            </w:rPr>
          </w:pPr>
          <w:r>
            <w:rPr>
              <w:rFonts w:asciiTheme="majorEastAsia" w:hAnsiTheme="majorEastAsia" w:eastAsiaTheme="majorEastAsia"/>
              <w:b w:val="0"/>
              <w:sz w:val="24"/>
              <w:u w:val="single"/>
            </w:rPr>
            <w:fldChar w:fldCharType="begin"/>
          </w:r>
          <w:r>
            <w:rPr>
              <w:rFonts w:asciiTheme="majorEastAsia" w:hAnsiTheme="majorEastAsia" w:eastAsiaTheme="majorEastAsia"/>
              <w:b w:val="0"/>
              <w:sz w:val="24"/>
              <w:u w:val="single"/>
            </w:rPr>
            <w:instrText xml:space="preserve"> TOC \o "1-3" \h \z \u </w:instrText>
          </w:r>
          <w:r>
            <w:rPr>
              <w:rFonts w:asciiTheme="majorEastAsia" w:hAnsiTheme="majorEastAsia" w:eastAsiaTheme="majorEastAsia"/>
              <w:b w:val="0"/>
              <w:sz w:val="24"/>
              <w:u w:val="single"/>
            </w:rPr>
            <w:fldChar w:fldCharType="separate"/>
          </w:r>
          <w:r>
            <w:fldChar w:fldCharType="begin"/>
          </w:r>
          <w:r>
            <w:instrText xml:space="preserve"> HYPERLINK \l "_Toc89102153" </w:instrText>
          </w:r>
          <w:r>
            <w:fldChar w:fldCharType="separate"/>
          </w:r>
          <w:r>
            <w:rPr>
              <w:rStyle w:val="25"/>
              <w:rFonts w:asciiTheme="majorEastAsia" w:hAnsiTheme="majorEastAsia" w:eastAsiaTheme="majorEastAsia"/>
            </w:rPr>
            <w:t>第一章 概述</w:t>
          </w:r>
          <w:r>
            <w:tab/>
          </w:r>
          <w:r>
            <w:fldChar w:fldCharType="begin"/>
          </w:r>
          <w:r>
            <w:instrText xml:space="preserve"> PAGEREF _Toc89102153 \h </w:instrText>
          </w:r>
          <w:r>
            <w:fldChar w:fldCharType="separate"/>
          </w:r>
          <w:r>
            <w:t>1</w:t>
          </w:r>
          <w:r>
            <w:fldChar w:fldCharType="end"/>
          </w:r>
          <w:r>
            <w:fldChar w:fldCharType="end"/>
          </w:r>
        </w:p>
        <w:p>
          <w:pPr>
            <w:pStyle w:val="17"/>
            <w:tabs>
              <w:tab w:val="right" w:leader="dot" w:pos="8494"/>
            </w:tabs>
            <w:ind w:firstLine="840"/>
            <w:rPr>
              <w:rFonts w:asciiTheme="minorHAnsi" w:hAnsiTheme="minorHAnsi" w:eastAsiaTheme="minorEastAsia" w:cstheme="minorBidi"/>
              <w:szCs w:val="22"/>
            </w:rPr>
          </w:pPr>
          <w:r>
            <w:fldChar w:fldCharType="begin"/>
          </w:r>
          <w:r>
            <w:instrText xml:space="preserve"> HYPERLINK \l "_Toc89102154" </w:instrText>
          </w:r>
          <w:r>
            <w:fldChar w:fldCharType="separate"/>
          </w:r>
          <w:r>
            <w:rPr>
              <w:rStyle w:val="25"/>
              <w:rFonts w:asciiTheme="majorEastAsia" w:hAnsiTheme="majorEastAsia" w:eastAsiaTheme="majorEastAsia"/>
            </w:rPr>
            <w:t>1.1 研究背景</w:t>
          </w:r>
          <w:r>
            <w:tab/>
          </w:r>
          <w:r>
            <w:fldChar w:fldCharType="begin"/>
          </w:r>
          <w:r>
            <w:instrText xml:space="preserve"> PAGEREF _Toc89102154 \h </w:instrText>
          </w:r>
          <w:r>
            <w:fldChar w:fldCharType="separate"/>
          </w:r>
          <w:r>
            <w:t>1</w:t>
          </w:r>
          <w:r>
            <w:fldChar w:fldCharType="end"/>
          </w:r>
          <w:r>
            <w:fldChar w:fldCharType="end"/>
          </w:r>
        </w:p>
        <w:p>
          <w:pPr>
            <w:pStyle w:val="17"/>
            <w:tabs>
              <w:tab w:val="right" w:leader="dot" w:pos="8494"/>
            </w:tabs>
            <w:ind w:firstLine="840"/>
            <w:rPr>
              <w:rFonts w:asciiTheme="minorHAnsi" w:hAnsiTheme="minorHAnsi" w:eastAsiaTheme="minorEastAsia" w:cstheme="minorBidi"/>
              <w:szCs w:val="22"/>
            </w:rPr>
          </w:pPr>
          <w:r>
            <w:fldChar w:fldCharType="begin"/>
          </w:r>
          <w:r>
            <w:instrText xml:space="preserve"> HYPERLINK \l "_Toc89102155" </w:instrText>
          </w:r>
          <w:r>
            <w:fldChar w:fldCharType="separate"/>
          </w:r>
          <w:r>
            <w:rPr>
              <w:rStyle w:val="25"/>
              <w:rFonts w:asciiTheme="majorEastAsia" w:hAnsiTheme="majorEastAsia" w:eastAsiaTheme="majorEastAsia"/>
            </w:rPr>
            <w:t>1.2 研究内容与思路</w:t>
          </w:r>
          <w:r>
            <w:tab/>
          </w:r>
          <w:r>
            <w:fldChar w:fldCharType="begin"/>
          </w:r>
          <w:r>
            <w:instrText xml:space="preserve"> PAGEREF _Toc89102155 \h </w:instrText>
          </w:r>
          <w:r>
            <w:fldChar w:fldCharType="separate"/>
          </w:r>
          <w:r>
            <w:t>2</w:t>
          </w:r>
          <w:r>
            <w:fldChar w:fldCharType="end"/>
          </w:r>
          <w:r>
            <w:fldChar w:fldCharType="end"/>
          </w:r>
        </w:p>
        <w:p>
          <w:pPr>
            <w:pStyle w:val="16"/>
            <w:tabs>
              <w:tab w:val="right" w:leader="dot" w:pos="8494"/>
            </w:tabs>
            <w:rPr>
              <w:rFonts w:asciiTheme="minorHAnsi" w:hAnsiTheme="minorHAnsi" w:eastAsiaTheme="minorEastAsia" w:cstheme="minorBidi"/>
              <w:b w:val="0"/>
              <w:szCs w:val="22"/>
            </w:rPr>
          </w:pPr>
          <w:r>
            <w:fldChar w:fldCharType="begin"/>
          </w:r>
          <w:r>
            <w:instrText xml:space="preserve"> HYPERLINK \l "_Toc89102159" </w:instrText>
          </w:r>
          <w:r>
            <w:fldChar w:fldCharType="separate"/>
          </w:r>
          <w:r>
            <w:rPr>
              <w:rStyle w:val="25"/>
              <w:rFonts w:asciiTheme="majorEastAsia" w:hAnsiTheme="majorEastAsia" w:eastAsiaTheme="majorEastAsia"/>
            </w:rPr>
            <w:t>第二章 “十三五”期交通运输发展评价</w:t>
          </w:r>
          <w:r>
            <w:tab/>
          </w:r>
          <w:r>
            <w:fldChar w:fldCharType="begin"/>
          </w:r>
          <w:r>
            <w:instrText xml:space="preserve"> PAGEREF _Toc89102159 \h </w:instrText>
          </w:r>
          <w:r>
            <w:fldChar w:fldCharType="separate"/>
          </w:r>
          <w:r>
            <w:t>6</w:t>
          </w:r>
          <w:r>
            <w:fldChar w:fldCharType="end"/>
          </w:r>
          <w:r>
            <w:fldChar w:fldCharType="end"/>
          </w:r>
        </w:p>
        <w:p>
          <w:pPr>
            <w:pStyle w:val="17"/>
            <w:tabs>
              <w:tab w:val="right" w:leader="dot" w:pos="8494"/>
            </w:tabs>
            <w:ind w:firstLine="840"/>
            <w:rPr>
              <w:rFonts w:asciiTheme="minorHAnsi" w:hAnsiTheme="minorHAnsi" w:eastAsiaTheme="minorEastAsia" w:cstheme="minorBidi"/>
              <w:szCs w:val="22"/>
            </w:rPr>
          </w:pPr>
          <w:r>
            <w:fldChar w:fldCharType="begin"/>
          </w:r>
          <w:r>
            <w:instrText xml:space="preserve"> HYPERLINK \l "_Toc89102160" </w:instrText>
          </w:r>
          <w:r>
            <w:fldChar w:fldCharType="separate"/>
          </w:r>
          <w:r>
            <w:rPr>
              <w:rStyle w:val="25"/>
              <w:rFonts w:asciiTheme="majorEastAsia" w:hAnsiTheme="majorEastAsia" w:eastAsiaTheme="majorEastAsia"/>
            </w:rPr>
            <w:t>2.1 发展成就与经验总结</w:t>
          </w:r>
          <w:r>
            <w:tab/>
          </w:r>
          <w:r>
            <w:fldChar w:fldCharType="begin"/>
          </w:r>
          <w:r>
            <w:instrText xml:space="preserve"> PAGEREF _Toc89102160 \h </w:instrText>
          </w:r>
          <w:r>
            <w:fldChar w:fldCharType="separate"/>
          </w:r>
          <w:r>
            <w:t>6</w:t>
          </w:r>
          <w:r>
            <w:fldChar w:fldCharType="end"/>
          </w:r>
          <w:r>
            <w:fldChar w:fldCharType="end"/>
          </w:r>
        </w:p>
        <w:p>
          <w:pPr>
            <w:pStyle w:val="17"/>
            <w:tabs>
              <w:tab w:val="right" w:leader="dot" w:pos="8494"/>
            </w:tabs>
            <w:ind w:firstLine="840"/>
            <w:rPr>
              <w:rFonts w:asciiTheme="minorHAnsi" w:hAnsiTheme="minorHAnsi" w:eastAsiaTheme="minorEastAsia" w:cstheme="minorBidi"/>
              <w:szCs w:val="22"/>
            </w:rPr>
          </w:pPr>
          <w:r>
            <w:fldChar w:fldCharType="begin"/>
          </w:r>
          <w:r>
            <w:instrText xml:space="preserve"> HYPERLINK \l "_Toc89102163" </w:instrText>
          </w:r>
          <w:r>
            <w:fldChar w:fldCharType="separate"/>
          </w:r>
          <w:r>
            <w:rPr>
              <w:rStyle w:val="25"/>
              <w:rFonts w:asciiTheme="majorEastAsia" w:hAnsiTheme="majorEastAsia" w:eastAsiaTheme="majorEastAsia"/>
            </w:rPr>
            <w:t>2.2 主要问题与薄弱环节</w:t>
          </w:r>
          <w:r>
            <w:tab/>
          </w:r>
          <w:r>
            <w:fldChar w:fldCharType="begin"/>
          </w:r>
          <w:r>
            <w:instrText xml:space="preserve"> PAGEREF _Toc89102163 \h </w:instrText>
          </w:r>
          <w:r>
            <w:fldChar w:fldCharType="separate"/>
          </w:r>
          <w:r>
            <w:t>26</w:t>
          </w:r>
          <w:r>
            <w:fldChar w:fldCharType="end"/>
          </w:r>
          <w:r>
            <w:fldChar w:fldCharType="end"/>
          </w:r>
        </w:p>
        <w:p>
          <w:pPr>
            <w:pStyle w:val="16"/>
            <w:tabs>
              <w:tab w:val="right" w:leader="dot" w:pos="8494"/>
            </w:tabs>
            <w:rPr>
              <w:rFonts w:asciiTheme="minorHAnsi" w:hAnsiTheme="minorHAnsi" w:eastAsiaTheme="minorEastAsia" w:cstheme="minorBidi"/>
              <w:b w:val="0"/>
              <w:szCs w:val="22"/>
            </w:rPr>
          </w:pPr>
          <w:r>
            <w:fldChar w:fldCharType="begin"/>
          </w:r>
          <w:r>
            <w:instrText xml:space="preserve"> HYPERLINK \l "_Toc89102171" </w:instrText>
          </w:r>
          <w:r>
            <w:fldChar w:fldCharType="separate"/>
          </w:r>
          <w:r>
            <w:rPr>
              <w:rStyle w:val="25"/>
              <w:rFonts w:asciiTheme="majorEastAsia" w:hAnsiTheme="majorEastAsia" w:eastAsiaTheme="majorEastAsia"/>
            </w:rPr>
            <w:t>第三章 “十四五”期交通运输发展面临的形势与机遇</w:t>
          </w:r>
          <w:r>
            <w:tab/>
          </w:r>
          <w:r>
            <w:fldChar w:fldCharType="begin"/>
          </w:r>
          <w:r>
            <w:instrText xml:space="preserve"> PAGEREF _Toc89102171 \h </w:instrText>
          </w:r>
          <w:r>
            <w:fldChar w:fldCharType="separate"/>
          </w:r>
          <w:r>
            <w:t>34</w:t>
          </w:r>
          <w:r>
            <w:fldChar w:fldCharType="end"/>
          </w:r>
          <w:r>
            <w:fldChar w:fldCharType="end"/>
          </w:r>
        </w:p>
        <w:p>
          <w:pPr>
            <w:pStyle w:val="17"/>
            <w:tabs>
              <w:tab w:val="right" w:leader="dot" w:pos="8494"/>
            </w:tabs>
            <w:ind w:firstLine="840"/>
            <w:rPr>
              <w:rFonts w:asciiTheme="minorHAnsi" w:hAnsiTheme="minorHAnsi" w:eastAsiaTheme="minorEastAsia" w:cstheme="minorBidi"/>
              <w:szCs w:val="22"/>
            </w:rPr>
          </w:pPr>
          <w:r>
            <w:fldChar w:fldCharType="begin"/>
          </w:r>
          <w:r>
            <w:instrText xml:space="preserve"> HYPERLINK \l "_Toc89102172" </w:instrText>
          </w:r>
          <w:r>
            <w:fldChar w:fldCharType="separate"/>
          </w:r>
          <w:r>
            <w:rPr>
              <w:rStyle w:val="25"/>
              <w:rFonts w:asciiTheme="majorEastAsia" w:hAnsiTheme="majorEastAsia" w:eastAsiaTheme="majorEastAsia"/>
            </w:rPr>
            <w:t>3.1 “十四五”期经济社会发展形势与要求</w:t>
          </w:r>
          <w:r>
            <w:tab/>
          </w:r>
          <w:r>
            <w:fldChar w:fldCharType="begin"/>
          </w:r>
          <w:r>
            <w:instrText xml:space="preserve"> PAGEREF _Toc89102172 \h </w:instrText>
          </w:r>
          <w:r>
            <w:fldChar w:fldCharType="separate"/>
          </w:r>
          <w:r>
            <w:t>34</w:t>
          </w:r>
          <w:r>
            <w:fldChar w:fldCharType="end"/>
          </w:r>
          <w:r>
            <w:fldChar w:fldCharType="end"/>
          </w:r>
        </w:p>
        <w:p>
          <w:pPr>
            <w:pStyle w:val="17"/>
            <w:tabs>
              <w:tab w:val="right" w:leader="dot" w:pos="8494"/>
            </w:tabs>
            <w:ind w:firstLine="840"/>
            <w:rPr>
              <w:rFonts w:asciiTheme="minorHAnsi" w:hAnsiTheme="minorHAnsi" w:eastAsiaTheme="minorEastAsia" w:cstheme="minorBidi"/>
              <w:szCs w:val="22"/>
            </w:rPr>
          </w:pPr>
          <w:r>
            <w:fldChar w:fldCharType="begin"/>
          </w:r>
          <w:r>
            <w:instrText xml:space="preserve"> HYPERLINK \l "_Toc89102177" </w:instrText>
          </w:r>
          <w:r>
            <w:fldChar w:fldCharType="separate"/>
          </w:r>
          <w:r>
            <w:rPr>
              <w:rStyle w:val="25"/>
              <w:rFonts w:asciiTheme="majorEastAsia" w:hAnsiTheme="majorEastAsia" w:eastAsiaTheme="majorEastAsia"/>
            </w:rPr>
            <w:t>3.2 “十四五”期交通运输发展机遇与挑战</w:t>
          </w:r>
          <w:r>
            <w:tab/>
          </w:r>
          <w:r>
            <w:fldChar w:fldCharType="begin"/>
          </w:r>
          <w:r>
            <w:instrText xml:space="preserve"> PAGEREF _Toc89102177 \h </w:instrText>
          </w:r>
          <w:r>
            <w:fldChar w:fldCharType="separate"/>
          </w:r>
          <w:r>
            <w:t>49</w:t>
          </w:r>
          <w:r>
            <w:fldChar w:fldCharType="end"/>
          </w:r>
          <w:r>
            <w:fldChar w:fldCharType="end"/>
          </w:r>
        </w:p>
        <w:p>
          <w:pPr>
            <w:pStyle w:val="17"/>
            <w:tabs>
              <w:tab w:val="right" w:leader="dot" w:pos="8494"/>
            </w:tabs>
            <w:ind w:firstLine="840"/>
            <w:rPr>
              <w:rFonts w:asciiTheme="minorHAnsi" w:hAnsiTheme="minorHAnsi" w:eastAsiaTheme="minorEastAsia" w:cstheme="minorBidi"/>
              <w:szCs w:val="22"/>
            </w:rPr>
          </w:pPr>
          <w:r>
            <w:fldChar w:fldCharType="begin"/>
          </w:r>
          <w:r>
            <w:instrText xml:space="preserve"> HYPERLINK \l "_Toc89102180" </w:instrText>
          </w:r>
          <w:r>
            <w:fldChar w:fldCharType="separate"/>
          </w:r>
          <w:r>
            <w:rPr>
              <w:rStyle w:val="25"/>
              <w:rFonts w:asciiTheme="majorEastAsia" w:hAnsiTheme="majorEastAsia" w:eastAsiaTheme="majorEastAsia"/>
            </w:rPr>
            <w:t>3.3 “十四五”期交通运输发展的阶段性特征</w:t>
          </w:r>
          <w:r>
            <w:tab/>
          </w:r>
          <w:r>
            <w:fldChar w:fldCharType="begin"/>
          </w:r>
          <w:r>
            <w:instrText xml:space="preserve"> PAGEREF _Toc89102180 \h </w:instrText>
          </w:r>
          <w:r>
            <w:fldChar w:fldCharType="separate"/>
          </w:r>
          <w:r>
            <w:t>60</w:t>
          </w:r>
          <w:r>
            <w:fldChar w:fldCharType="end"/>
          </w:r>
          <w:r>
            <w:fldChar w:fldCharType="end"/>
          </w:r>
        </w:p>
        <w:p>
          <w:pPr>
            <w:pStyle w:val="16"/>
            <w:tabs>
              <w:tab w:val="right" w:leader="dot" w:pos="8494"/>
            </w:tabs>
            <w:rPr>
              <w:rFonts w:asciiTheme="minorHAnsi" w:hAnsiTheme="minorHAnsi" w:eastAsiaTheme="minorEastAsia" w:cstheme="minorBidi"/>
              <w:b w:val="0"/>
              <w:szCs w:val="22"/>
            </w:rPr>
          </w:pPr>
          <w:r>
            <w:fldChar w:fldCharType="begin"/>
          </w:r>
          <w:r>
            <w:instrText xml:space="preserve"> HYPERLINK \l "_Toc89102181" </w:instrText>
          </w:r>
          <w:r>
            <w:fldChar w:fldCharType="separate"/>
          </w:r>
          <w:r>
            <w:rPr>
              <w:rStyle w:val="25"/>
              <w:rFonts w:asciiTheme="majorEastAsia" w:hAnsiTheme="majorEastAsia" w:eastAsiaTheme="majorEastAsia"/>
            </w:rPr>
            <w:t>第四章 “十四五”期交通运输发展的指导思想和发展目标</w:t>
          </w:r>
          <w:r>
            <w:tab/>
          </w:r>
          <w:r>
            <w:fldChar w:fldCharType="begin"/>
          </w:r>
          <w:r>
            <w:instrText xml:space="preserve"> PAGEREF _Toc89102181 \h </w:instrText>
          </w:r>
          <w:r>
            <w:fldChar w:fldCharType="separate"/>
          </w:r>
          <w:r>
            <w:t>63</w:t>
          </w:r>
          <w:r>
            <w:fldChar w:fldCharType="end"/>
          </w:r>
          <w:r>
            <w:fldChar w:fldCharType="end"/>
          </w:r>
        </w:p>
        <w:p>
          <w:pPr>
            <w:pStyle w:val="17"/>
            <w:tabs>
              <w:tab w:val="right" w:leader="dot" w:pos="8494"/>
            </w:tabs>
            <w:ind w:firstLine="840"/>
            <w:rPr>
              <w:rFonts w:asciiTheme="minorHAnsi" w:hAnsiTheme="minorHAnsi" w:eastAsiaTheme="minorEastAsia" w:cstheme="minorBidi"/>
              <w:szCs w:val="22"/>
            </w:rPr>
          </w:pPr>
          <w:r>
            <w:fldChar w:fldCharType="begin"/>
          </w:r>
          <w:r>
            <w:instrText xml:space="preserve"> HYPERLINK \l "_Toc89102182" </w:instrText>
          </w:r>
          <w:r>
            <w:fldChar w:fldCharType="separate"/>
          </w:r>
          <w:r>
            <w:rPr>
              <w:rStyle w:val="25"/>
              <w:rFonts w:asciiTheme="majorEastAsia" w:hAnsiTheme="majorEastAsia" w:eastAsiaTheme="majorEastAsia"/>
            </w:rPr>
            <w:t>4.1 指导思想与基本原则</w:t>
          </w:r>
          <w:r>
            <w:tab/>
          </w:r>
          <w:r>
            <w:fldChar w:fldCharType="begin"/>
          </w:r>
          <w:r>
            <w:instrText xml:space="preserve"> PAGEREF _Toc89102182 \h </w:instrText>
          </w:r>
          <w:r>
            <w:fldChar w:fldCharType="separate"/>
          </w:r>
          <w:r>
            <w:t>63</w:t>
          </w:r>
          <w:r>
            <w:fldChar w:fldCharType="end"/>
          </w:r>
          <w:r>
            <w:fldChar w:fldCharType="end"/>
          </w:r>
        </w:p>
        <w:p>
          <w:pPr>
            <w:pStyle w:val="17"/>
            <w:tabs>
              <w:tab w:val="right" w:leader="dot" w:pos="8494"/>
            </w:tabs>
            <w:ind w:firstLine="840"/>
            <w:rPr>
              <w:rFonts w:asciiTheme="minorHAnsi" w:hAnsiTheme="minorHAnsi" w:eastAsiaTheme="minorEastAsia" w:cstheme="minorBidi"/>
              <w:szCs w:val="22"/>
            </w:rPr>
          </w:pPr>
          <w:r>
            <w:fldChar w:fldCharType="begin"/>
          </w:r>
          <w:r>
            <w:instrText xml:space="preserve"> HYPERLINK \l "_Toc89102186" </w:instrText>
          </w:r>
          <w:r>
            <w:fldChar w:fldCharType="separate"/>
          </w:r>
          <w:r>
            <w:rPr>
              <w:rStyle w:val="25"/>
              <w:rFonts w:asciiTheme="majorEastAsia" w:hAnsiTheme="majorEastAsia" w:eastAsiaTheme="majorEastAsia"/>
            </w:rPr>
            <w:t>4.2 发展目标</w:t>
          </w:r>
          <w:r>
            <w:tab/>
          </w:r>
          <w:r>
            <w:fldChar w:fldCharType="begin"/>
          </w:r>
          <w:r>
            <w:instrText xml:space="preserve"> PAGEREF _Toc89102186 \h </w:instrText>
          </w:r>
          <w:r>
            <w:fldChar w:fldCharType="separate"/>
          </w:r>
          <w:r>
            <w:t>66</w:t>
          </w:r>
          <w:r>
            <w:fldChar w:fldCharType="end"/>
          </w:r>
          <w:r>
            <w:fldChar w:fldCharType="end"/>
          </w:r>
        </w:p>
        <w:p>
          <w:pPr>
            <w:pStyle w:val="16"/>
            <w:tabs>
              <w:tab w:val="right" w:leader="dot" w:pos="8494"/>
            </w:tabs>
            <w:rPr>
              <w:rFonts w:asciiTheme="minorHAnsi" w:hAnsiTheme="minorHAnsi" w:eastAsiaTheme="minorEastAsia" w:cstheme="minorBidi"/>
              <w:b w:val="0"/>
              <w:szCs w:val="22"/>
            </w:rPr>
          </w:pPr>
          <w:r>
            <w:fldChar w:fldCharType="begin"/>
          </w:r>
          <w:r>
            <w:instrText xml:space="preserve"> HYPERLINK \l "_Toc89102190" </w:instrText>
          </w:r>
          <w:r>
            <w:fldChar w:fldCharType="separate"/>
          </w:r>
          <w:r>
            <w:rPr>
              <w:rStyle w:val="25"/>
              <w:rFonts w:asciiTheme="majorEastAsia" w:hAnsiTheme="majorEastAsia" w:eastAsiaTheme="majorEastAsia"/>
            </w:rPr>
            <w:t>第五章 “十四五”交通运输发展重点任务和资金需求分析</w:t>
          </w:r>
          <w:r>
            <w:tab/>
          </w:r>
          <w:r>
            <w:fldChar w:fldCharType="begin"/>
          </w:r>
          <w:r>
            <w:instrText xml:space="preserve"> PAGEREF _Toc89102190 \h </w:instrText>
          </w:r>
          <w:r>
            <w:fldChar w:fldCharType="separate"/>
          </w:r>
          <w:r>
            <w:t>72</w:t>
          </w:r>
          <w:r>
            <w:fldChar w:fldCharType="end"/>
          </w:r>
          <w:r>
            <w:fldChar w:fldCharType="end"/>
          </w:r>
        </w:p>
        <w:p>
          <w:pPr>
            <w:pStyle w:val="17"/>
            <w:tabs>
              <w:tab w:val="right" w:leader="dot" w:pos="8494"/>
            </w:tabs>
            <w:ind w:firstLine="840"/>
            <w:rPr>
              <w:rFonts w:asciiTheme="minorHAnsi" w:hAnsiTheme="minorHAnsi" w:eastAsiaTheme="minorEastAsia" w:cstheme="minorBidi"/>
              <w:szCs w:val="22"/>
            </w:rPr>
          </w:pPr>
          <w:r>
            <w:fldChar w:fldCharType="begin"/>
          </w:r>
          <w:r>
            <w:instrText xml:space="preserve"> HYPERLINK \l "_Toc89102191" </w:instrText>
          </w:r>
          <w:r>
            <w:fldChar w:fldCharType="separate"/>
          </w:r>
          <w:r>
            <w:rPr>
              <w:rStyle w:val="25"/>
              <w:rFonts w:asciiTheme="majorEastAsia" w:hAnsiTheme="majorEastAsia" w:eastAsiaTheme="majorEastAsia"/>
            </w:rPr>
            <w:t>5.1 重点任务</w:t>
          </w:r>
          <w:r>
            <w:tab/>
          </w:r>
          <w:r>
            <w:fldChar w:fldCharType="begin"/>
          </w:r>
          <w:r>
            <w:instrText xml:space="preserve"> PAGEREF _Toc89102191 \h </w:instrText>
          </w:r>
          <w:r>
            <w:fldChar w:fldCharType="separate"/>
          </w:r>
          <w:r>
            <w:t>72</w:t>
          </w:r>
          <w:r>
            <w:fldChar w:fldCharType="end"/>
          </w:r>
          <w:r>
            <w:fldChar w:fldCharType="end"/>
          </w:r>
        </w:p>
        <w:p>
          <w:pPr>
            <w:pStyle w:val="17"/>
            <w:tabs>
              <w:tab w:val="right" w:leader="dot" w:pos="8494"/>
            </w:tabs>
            <w:ind w:firstLine="840"/>
            <w:rPr>
              <w:rFonts w:asciiTheme="minorHAnsi" w:hAnsiTheme="minorHAnsi" w:eastAsiaTheme="minorEastAsia" w:cstheme="minorBidi"/>
              <w:szCs w:val="22"/>
            </w:rPr>
          </w:pPr>
          <w:r>
            <w:fldChar w:fldCharType="begin"/>
          </w:r>
          <w:r>
            <w:instrText xml:space="preserve"> HYPERLINK \l "_Toc89102200" </w:instrText>
          </w:r>
          <w:r>
            <w:fldChar w:fldCharType="separate"/>
          </w:r>
          <w:r>
            <w:rPr>
              <w:rStyle w:val="25"/>
              <w:rFonts w:asciiTheme="majorEastAsia" w:hAnsiTheme="majorEastAsia" w:eastAsiaTheme="majorEastAsia"/>
            </w:rPr>
            <w:t>5.2 资金需求分析</w:t>
          </w:r>
          <w:r>
            <w:tab/>
          </w:r>
          <w:r>
            <w:fldChar w:fldCharType="begin"/>
          </w:r>
          <w:r>
            <w:instrText xml:space="preserve"> PAGEREF _Toc89102200 \h </w:instrText>
          </w:r>
          <w:r>
            <w:fldChar w:fldCharType="separate"/>
          </w:r>
          <w:r>
            <w:t>105</w:t>
          </w:r>
          <w:r>
            <w:fldChar w:fldCharType="end"/>
          </w:r>
          <w:r>
            <w:fldChar w:fldCharType="end"/>
          </w:r>
        </w:p>
        <w:p>
          <w:pPr>
            <w:pStyle w:val="16"/>
            <w:tabs>
              <w:tab w:val="right" w:leader="dot" w:pos="8494"/>
            </w:tabs>
            <w:rPr>
              <w:rFonts w:asciiTheme="minorHAnsi" w:hAnsiTheme="minorHAnsi" w:eastAsiaTheme="minorEastAsia" w:cstheme="minorBidi"/>
              <w:b w:val="0"/>
              <w:szCs w:val="22"/>
            </w:rPr>
          </w:pPr>
          <w:r>
            <w:fldChar w:fldCharType="begin"/>
          </w:r>
          <w:r>
            <w:instrText xml:space="preserve"> HYPERLINK \l "_Toc89102203" </w:instrText>
          </w:r>
          <w:r>
            <w:fldChar w:fldCharType="separate"/>
          </w:r>
          <w:r>
            <w:rPr>
              <w:rStyle w:val="25"/>
              <w:rFonts w:asciiTheme="majorEastAsia" w:hAnsiTheme="majorEastAsia" w:eastAsiaTheme="majorEastAsia"/>
            </w:rPr>
            <w:t>第六章 环境影响评价</w:t>
          </w:r>
          <w:r>
            <w:tab/>
          </w:r>
          <w:r>
            <w:fldChar w:fldCharType="begin"/>
          </w:r>
          <w:r>
            <w:instrText xml:space="preserve"> PAGEREF _Toc89102203 \h </w:instrText>
          </w:r>
          <w:r>
            <w:fldChar w:fldCharType="separate"/>
          </w:r>
          <w:r>
            <w:t>109</w:t>
          </w:r>
          <w:r>
            <w:fldChar w:fldCharType="end"/>
          </w:r>
          <w:r>
            <w:fldChar w:fldCharType="end"/>
          </w:r>
        </w:p>
        <w:p>
          <w:pPr>
            <w:pStyle w:val="17"/>
            <w:tabs>
              <w:tab w:val="right" w:leader="dot" w:pos="8494"/>
            </w:tabs>
            <w:ind w:firstLine="840"/>
            <w:rPr>
              <w:rFonts w:asciiTheme="minorHAnsi" w:hAnsiTheme="minorHAnsi" w:eastAsiaTheme="minorEastAsia" w:cstheme="minorBidi"/>
              <w:szCs w:val="22"/>
            </w:rPr>
          </w:pPr>
          <w:r>
            <w:fldChar w:fldCharType="begin"/>
          </w:r>
          <w:r>
            <w:instrText xml:space="preserve"> HYPERLINK \l "_Toc89102204" </w:instrText>
          </w:r>
          <w:r>
            <w:fldChar w:fldCharType="separate"/>
          </w:r>
          <w:r>
            <w:rPr>
              <w:rStyle w:val="25"/>
              <w:rFonts w:asciiTheme="majorEastAsia" w:hAnsiTheme="majorEastAsia" w:eastAsiaTheme="majorEastAsia"/>
            </w:rPr>
            <w:t>6.1对环境的影响</w:t>
          </w:r>
          <w:r>
            <w:tab/>
          </w:r>
          <w:r>
            <w:fldChar w:fldCharType="begin"/>
          </w:r>
          <w:r>
            <w:instrText xml:space="preserve"> PAGEREF _Toc89102204 \h </w:instrText>
          </w:r>
          <w:r>
            <w:fldChar w:fldCharType="separate"/>
          </w:r>
          <w:r>
            <w:t>109</w:t>
          </w:r>
          <w:r>
            <w:fldChar w:fldCharType="end"/>
          </w:r>
          <w:r>
            <w:fldChar w:fldCharType="end"/>
          </w:r>
        </w:p>
        <w:p>
          <w:pPr>
            <w:pStyle w:val="17"/>
            <w:tabs>
              <w:tab w:val="right" w:leader="dot" w:pos="8494"/>
            </w:tabs>
            <w:ind w:firstLine="840"/>
            <w:rPr>
              <w:rFonts w:asciiTheme="minorHAnsi" w:hAnsiTheme="minorHAnsi" w:eastAsiaTheme="minorEastAsia" w:cstheme="minorBidi"/>
              <w:szCs w:val="22"/>
            </w:rPr>
          </w:pPr>
          <w:r>
            <w:fldChar w:fldCharType="begin"/>
          </w:r>
          <w:r>
            <w:instrText xml:space="preserve"> HYPERLINK \l "_Toc89102205" </w:instrText>
          </w:r>
          <w:r>
            <w:fldChar w:fldCharType="separate"/>
          </w:r>
          <w:r>
            <w:rPr>
              <w:rStyle w:val="25"/>
              <w:rFonts w:asciiTheme="majorEastAsia" w:hAnsiTheme="majorEastAsia" w:eastAsiaTheme="majorEastAsia"/>
            </w:rPr>
            <w:t>6.2规划环境合理性分析</w:t>
          </w:r>
          <w:r>
            <w:tab/>
          </w:r>
          <w:r>
            <w:fldChar w:fldCharType="begin"/>
          </w:r>
          <w:r>
            <w:instrText xml:space="preserve"> PAGEREF _Toc89102205 \h </w:instrText>
          </w:r>
          <w:r>
            <w:fldChar w:fldCharType="separate"/>
          </w:r>
          <w:r>
            <w:t>111</w:t>
          </w:r>
          <w:r>
            <w:fldChar w:fldCharType="end"/>
          </w:r>
          <w:r>
            <w:fldChar w:fldCharType="end"/>
          </w:r>
        </w:p>
        <w:p>
          <w:pPr>
            <w:pStyle w:val="17"/>
            <w:tabs>
              <w:tab w:val="right" w:leader="dot" w:pos="8494"/>
            </w:tabs>
            <w:ind w:firstLine="840"/>
            <w:rPr>
              <w:rFonts w:asciiTheme="minorHAnsi" w:hAnsiTheme="minorHAnsi" w:eastAsiaTheme="minorEastAsia" w:cstheme="minorBidi"/>
              <w:szCs w:val="22"/>
            </w:rPr>
          </w:pPr>
          <w:r>
            <w:fldChar w:fldCharType="begin"/>
          </w:r>
          <w:r>
            <w:instrText xml:space="preserve"> HYPERLINK \l "_Toc89102206" </w:instrText>
          </w:r>
          <w:r>
            <w:fldChar w:fldCharType="separate"/>
          </w:r>
          <w:r>
            <w:rPr>
              <w:rStyle w:val="25"/>
              <w:rFonts w:asciiTheme="majorEastAsia" w:hAnsiTheme="majorEastAsia" w:eastAsiaTheme="majorEastAsia"/>
            </w:rPr>
            <w:t>6.3减缓环境影响的建议</w:t>
          </w:r>
          <w:r>
            <w:tab/>
          </w:r>
          <w:r>
            <w:fldChar w:fldCharType="begin"/>
          </w:r>
          <w:r>
            <w:instrText xml:space="preserve"> PAGEREF _Toc89102206 \h </w:instrText>
          </w:r>
          <w:r>
            <w:fldChar w:fldCharType="separate"/>
          </w:r>
          <w:r>
            <w:t>111</w:t>
          </w:r>
          <w:r>
            <w:fldChar w:fldCharType="end"/>
          </w:r>
          <w:r>
            <w:fldChar w:fldCharType="end"/>
          </w:r>
        </w:p>
        <w:p>
          <w:pPr>
            <w:pStyle w:val="17"/>
            <w:tabs>
              <w:tab w:val="right" w:leader="dot" w:pos="8494"/>
            </w:tabs>
            <w:ind w:firstLine="840"/>
            <w:rPr>
              <w:rFonts w:asciiTheme="minorHAnsi" w:hAnsiTheme="minorHAnsi" w:eastAsiaTheme="minorEastAsia" w:cstheme="minorBidi"/>
              <w:szCs w:val="22"/>
            </w:rPr>
          </w:pPr>
          <w:r>
            <w:fldChar w:fldCharType="begin"/>
          </w:r>
          <w:r>
            <w:instrText xml:space="preserve"> HYPERLINK \l "_Toc89102207" </w:instrText>
          </w:r>
          <w:r>
            <w:fldChar w:fldCharType="separate"/>
          </w:r>
          <w:r>
            <w:rPr>
              <w:rStyle w:val="25"/>
              <w:rFonts w:asciiTheme="majorEastAsia" w:hAnsiTheme="majorEastAsia" w:eastAsiaTheme="majorEastAsia"/>
            </w:rPr>
            <w:t>6.4评价结论</w:t>
          </w:r>
          <w:r>
            <w:tab/>
          </w:r>
          <w:r>
            <w:fldChar w:fldCharType="begin"/>
          </w:r>
          <w:r>
            <w:instrText xml:space="preserve"> PAGEREF _Toc89102207 \h </w:instrText>
          </w:r>
          <w:r>
            <w:fldChar w:fldCharType="separate"/>
          </w:r>
          <w:r>
            <w:t>112</w:t>
          </w:r>
          <w:r>
            <w:fldChar w:fldCharType="end"/>
          </w:r>
          <w:r>
            <w:fldChar w:fldCharType="end"/>
          </w:r>
        </w:p>
        <w:p>
          <w:pPr>
            <w:pStyle w:val="16"/>
            <w:tabs>
              <w:tab w:val="right" w:leader="dot" w:pos="8494"/>
            </w:tabs>
            <w:rPr>
              <w:rFonts w:asciiTheme="minorHAnsi" w:hAnsiTheme="minorHAnsi" w:eastAsiaTheme="minorEastAsia" w:cstheme="minorBidi"/>
              <w:b w:val="0"/>
              <w:szCs w:val="22"/>
            </w:rPr>
          </w:pPr>
          <w:r>
            <w:fldChar w:fldCharType="begin"/>
          </w:r>
          <w:r>
            <w:instrText xml:space="preserve"> HYPERLINK \l "_Toc89102208" </w:instrText>
          </w:r>
          <w:r>
            <w:fldChar w:fldCharType="separate"/>
          </w:r>
          <w:r>
            <w:rPr>
              <w:rStyle w:val="25"/>
              <w:rFonts w:asciiTheme="majorEastAsia" w:hAnsiTheme="majorEastAsia" w:eastAsiaTheme="majorEastAsia"/>
            </w:rPr>
            <w:t>第七章 保障措施</w:t>
          </w:r>
          <w:r>
            <w:tab/>
          </w:r>
          <w:r>
            <w:fldChar w:fldCharType="begin"/>
          </w:r>
          <w:r>
            <w:instrText xml:space="preserve"> PAGEREF _Toc89102208 \h </w:instrText>
          </w:r>
          <w:r>
            <w:fldChar w:fldCharType="separate"/>
          </w:r>
          <w:r>
            <w:t>113</w:t>
          </w:r>
          <w:r>
            <w:fldChar w:fldCharType="end"/>
          </w:r>
          <w:r>
            <w:fldChar w:fldCharType="end"/>
          </w:r>
        </w:p>
        <w:p>
          <w:pPr>
            <w:pStyle w:val="17"/>
            <w:tabs>
              <w:tab w:val="right" w:leader="dot" w:pos="8494"/>
            </w:tabs>
            <w:ind w:firstLine="840"/>
            <w:rPr>
              <w:rFonts w:asciiTheme="minorHAnsi" w:hAnsiTheme="minorHAnsi" w:eastAsiaTheme="minorEastAsia" w:cstheme="minorBidi"/>
              <w:szCs w:val="22"/>
            </w:rPr>
          </w:pPr>
          <w:r>
            <w:fldChar w:fldCharType="begin"/>
          </w:r>
          <w:r>
            <w:instrText xml:space="preserve"> HYPERLINK \l "_Toc89102209" </w:instrText>
          </w:r>
          <w:r>
            <w:fldChar w:fldCharType="separate"/>
          </w:r>
          <w:r>
            <w:rPr>
              <w:rStyle w:val="25"/>
              <w:rFonts w:asciiTheme="majorEastAsia" w:hAnsiTheme="majorEastAsia" w:eastAsiaTheme="majorEastAsia"/>
            </w:rPr>
            <w:t>7.1 加强党的领导，加强组织实施。</w:t>
          </w:r>
          <w:r>
            <w:tab/>
          </w:r>
          <w:r>
            <w:fldChar w:fldCharType="begin"/>
          </w:r>
          <w:r>
            <w:instrText xml:space="preserve"> PAGEREF _Toc89102209 \h </w:instrText>
          </w:r>
          <w:r>
            <w:fldChar w:fldCharType="separate"/>
          </w:r>
          <w:r>
            <w:t>113</w:t>
          </w:r>
          <w:r>
            <w:fldChar w:fldCharType="end"/>
          </w:r>
          <w:r>
            <w:fldChar w:fldCharType="end"/>
          </w:r>
        </w:p>
        <w:p>
          <w:pPr>
            <w:pStyle w:val="17"/>
            <w:tabs>
              <w:tab w:val="right" w:leader="dot" w:pos="8494"/>
            </w:tabs>
            <w:ind w:firstLine="840"/>
            <w:rPr>
              <w:rFonts w:asciiTheme="minorHAnsi" w:hAnsiTheme="minorHAnsi" w:eastAsiaTheme="minorEastAsia" w:cstheme="minorBidi"/>
              <w:szCs w:val="22"/>
            </w:rPr>
          </w:pPr>
          <w:r>
            <w:fldChar w:fldCharType="begin"/>
          </w:r>
          <w:r>
            <w:instrText xml:space="preserve"> HYPERLINK \l "_Toc89102210" </w:instrText>
          </w:r>
          <w:r>
            <w:fldChar w:fldCharType="separate"/>
          </w:r>
          <w:r>
            <w:rPr>
              <w:rStyle w:val="25"/>
              <w:rFonts w:asciiTheme="majorEastAsia" w:hAnsiTheme="majorEastAsia" w:eastAsiaTheme="majorEastAsia"/>
            </w:rPr>
            <w:t>7.2 保障前期工作，优化建设方案。</w:t>
          </w:r>
          <w:r>
            <w:tab/>
          </w:r>
          <w:r>
            <w:fldChar w:fldCharType="begin"/>
          </w:r>
          <w:r>
            <w:instrText xml:space="preserve"> PAGEREF _Toc89102210 \h </w:instrText>
          </w:r>
          <w:r>
            <w:fldChar w:fldCharType="separate"/>
          </w:r>
          <w:r>
            <w:t>114</w:t>
          </w:r>
          <w:r>
            <w:fldChar w:fldCharType="end"/>
          </w:r>
          <w:r>
            <w:fldChar w:fldCharType="end"/>
          </w:r>
        </w:p>
        <w:p>
          <w:pPr>
            <w:pStyle w:val="17"/>
            <w:tabs>
              <w:tab w:val="right" w:leader="dot" w:pos="8494"/>
            </w:tabs>
            <w:ind w:firstLine="840"/>
            <w:rPr>
              <w:rFonts w:asciiTheme="minorHAnsi" w:hAnsiTheme="minorHAnsi" w:eastAsiaTheme="minorEastAsia" w:cstheme="minorBidi"/>
              <w:szCs w:val="22"/>
            </w:rPr>
          </w:pPr>
          <w:r>
            <w:fldChar w:fldCharType="begin"/>
          </w:r>
          <w:r>
            <w:instrText xml:space="preserve"> HYPERLINK \l "_Toc89102211" </w:instrText>
          </w:r>
          <w:r>
            <w:fldChar w:fldCharType="separate"/>
          </w:r>
          <w:r>
            <w:rPr>
              <w:rStyle w:val="25"/>
              <w:rFonts w:asciiTheme="majorEastAsia" w:hAnsiTheme="majorEastAsia" w:eastAsiaTheme="majorEastAsia"/>
            </w:rPr>
            <w:t>7.3 优化体制机制，加强建养管理。</w:t>
          </w:r>
          <w:r>
            <w:tab/>
          </w:r>
          <w:r>
            <w:fldChar w:fldCharType="begin"/>
          </w:r>
          <w:r>
            <w:instrText xml:space="preserve"> PAGEREF _Toc89102211 \h </w:instrText>
          </w:r>
          <w:r>
            <w:fldChar w:fldCharType="separate"/>
          </w:r>
          <w:r>
            <w:t>115</w:t>
          </w:r>
          <w:r>
            <w:fldChar w:fldCharType="end"/>
          </w:r>
          <w:r>
            <w:fldChar w:fldCharType="end"/>
          </w:r>
        </w:p>
        <w:p>
          <w:pPr>
            <w:pStyle w:val="17"/>
            <w:tabs>
              <w:tab w:val="right" w:leader="dot" w:pos="8494"/>
            </w:tabs>
            <w:ind w:firstLine="840"/>
            <w:rPr>
              <w:rFonts w:asciiTheme="minorHAnsi" w:hAnsiTheme="minorHAnsi" w:eastAsiaTheme="minorEastAsia" w:cstheme="minorBidi"/>
              <w:szCs w:val="22"/>
            </w:rPr>
          </w:pPr>
          <w:r>
            <w:fldChar w:fldCharType="begin"/>
          </w:r>
          <w:r>
            <w:instrText xml:space="preserve"> HYPERLINK \l "_Toc89102212" </w:instrText>
          </w:r>
          <w:r>
            <w:fldChar w:fldCharType="separate"/>
          </w:r>
          <w:r>
            <w:rPr>
              <w:rStyle w:val="25"/>
              <w:rFonts w:asciiTheme="majorEastAsia" w:hAnsiTheme="majorEastAsia" w:eastAsiaTheme="majorEastAsia"/>
            </w:rPr>
            <w:t>7.4 加强人才建设，争取技术支持。</w:t>
          </w:r>
          <w:r>
            <w:tab/>
          </w:r>
          <w:r>
            <w:fldChar w:fldCharType="begin"/>
          </w:r>
          <w:r>
            <w:instrText xml:space="preserve"> PAGEREF _Toc89102212 \h </w:instrText>
          </w:r>
          <w:r>
            <w:fldChar w:fldCharType="separate"/>
          </w:r>
          <w:r>
            <w:t>115</w:t>
          </w:r>
          <w:r>
            <w:fldChar w:fldCharType="end"/>
          </w:r>
          <w:r>
            <w:fldChar w:fldCharType="end"/>
          </w:r>
        </w:p>
        <w:p>
          <w:pPr>
            <w:pStyle w:val="17"/>
            <w:tabs>
              <w:tab w:val="right" w:leader="dot" w:pos="8494"/>
            </w:tabs>
            <w:ind w:firstLine="840"/>
            <w:rPr>
              <w:rFonts w:asciiTheme="minorHAnsi" w:hAnsiTheme="minorHAnsi" w:eastAsiaTheme="minorEastAsia" w:cstheme="minorBidi"/>
              <w:szCs w:val="22"/>
            </w:rPr>
          </w:pPr>
          <w:r>
            <w:fldChar w:fldCharType="begin"/>
          </w:r>
          <w:r>
            <w:instrText xml:space="preserve"> HYPERLINK \l "_Toc89102213" </w:instrText>
          </w:r>
          <w:r>
            <w:fldChar w:fldCharType="separate"/>
          </w:r>
          <w:r>
            <w:rPr>
              <w:rStyle w:val="25"/>
              <w:rFonts w:asciiTheme="majorEastAsia" w:hAnsiTheme="majorEastAsia" w:eastAsiaTheme="majorEastAsia"/>
            </w:rPr>
            <w:t>7.5 抓好试点工作，争创示范工程。</w:t>
          </w:r>
          <w:r>
            <w:tab/>
          </w:r>
          <w:r>
            <w:fldChar w:fldCharType="begin"/>
          </w:r>
          <w:r>
            <w:instrText xml:space="preserve"> PAGEREF _Toc89102213 \h </w:instrText>
          </w:r>
          <w:r>
            <w:fldChar w:fldCharType="separate"/>
          </w:r>
          <w:r>
            <w:t>116</w:t>
          </w:r>
          <w:r>
            <w:fldChar w:fldCharType="end"/>
          </w:r>
          <w:r>
            <w:fldChar w:fldCharType="end"/>
          </w:r>
        </w:p>
        <w:p>
          <w:pPr>
            <w:pStyle w:val="16"/>
            <w:tabs>
              <w:tab w:val="right" w:leader="dot" w:pos="8494"/>
            </w:tabs>
            <w:rPr>
              <w:rFonts w:asciiTheme="minorHAnsi" w:hAnsiTheme="minorHAnsi" w:eastAsiaTheme="minorEastAsia" w:cstheme="minorBidi"/>
              <w:b w:val="0"/>
              <w:szCs w:val="22"/>
            </w:rPr>
          </w:pPr>
          <w:r>
            <w:fldChar w:fldCharType="begin"/>
          </w:r>
          <w:r>
            <w:instrText xml:space="preserve"> HYPERLINK \l "_Toc89102214" </w:instrText>
          </w:r>
          <w:r>
            <w:fldChar w:fldCharType="separate"/>
          </w:r>
          <w:r>
            <w:rPr>
              <w:rStyle w:val="25"/>
              <w:rFonts w:cs="宋体" w:asciiTheme="majorEastAsia" w:hAnsiTheme="majorEastAsia" w:eastAsiaTheme="majorEastAsia"/>
              <w:bCs/>
              <w:kern w:val="44"/>
            </w:rPr>
            <w:t>附表</w:t>
          </w:r>
          <w:r>
            <w:rPr>
              <w:rStyle w:val="25"/>
              <w:rFonts w:asciiTheme="majorEastAsia" w:hAnsiTheme="majorEastAsia" w:eastAsiaTheme="majorEastAsia"/>
              <w:bCs/>
              <w:kern w:val="44"/>
            </w:rPr>
            <w:t xml:space="preserve">1  </w:t>
          </w:r>
          <w:r>
            <w:rPr>
              <w:rStyle w:val="25"/>
              <w:rFonts w:cs="宋体" w:asciiTheme="majorEastAsia" w:hAnsiTheme="majorEastAsia" w:eastAsiaTheme="majorEastAsia"/>
              <w:bCs/>
              <w:kern w:val="44"/>
            </w:rPr>
            <w:t>六盘水市</w:t>
          </w:r>
          <w:r>
            <w:rPr>
              <w:rStyle w:val="25"/>
              <w:rFonts w:asciiTheme="majorEastAsia" w:hAnsiTheme="majorEastAsia" w:eastAsiaTheme="majorEastAsia"/>
              <w:bCs/>
              <w:kern w:val="44"/>
            </w:rPr>
            <w:t>“</w:t>
          </w:r>
          <w:r>
            <w:rPr>
              <w:rStyle w:val="25"/>
              <w:rFonts w:cs="宋体" w:asciiTheme="majorEastAsia" w:hAnsiTheme="majorEastAsia" w:eastAsiaTheme="majorEastAsia"/>
              <w:bCs/>
              <w:kern w:val="44"/>
            </w:rPr>
            <w:t>十四五</w:t>
          </w:r>
          <w:r>
            <w:rPr>
              <w:rStyle w:val="25"/>
              <w:rFonts w:asciiTheme="majorEastAsia" w:hAnsiTheme="majorEastAsia" w:eastAsiaTheme="majorEastAsia"/>
              <w:bCs/>
              <w:kern w:val="44"/>
            </w:rPr>
            <w:t>”</w:t>
          </w:r>
          <w:r>
            <w:rPr>
              <w:rStyle w:val="25"/>
              <w:rFonts w:cs="宋体" w:asciiTheme="majorEastAsia" w:hAnsiTheme="majorEastAsia" w:eastAsiaTheme="majorEastAsia"/>
              <w:bCs/>
              <w:kern w:val="44"/>
            </w:rPr>
            <w:t>高速公路建设项目表</w:t>
          </w:r>
          <w:r>
            <w:tab/>
          </w:r>
          <w:r>
            <w:fldChar w:fldCharType="begin"/>
          </w:r>
          <w:r>
            <w:instrText xml:space="preserve"> PAGEREF _Toc89102214 \h </w:instrText>
          </w:r>
          <w:r>
            <w:fldChar w:fldCharType="separate"/>
          </w:r>
          <w:r>
            <w:t>117</w:t>
          </w:r>
          <w:r>
            <w:fldChar w:fldCharType="end"/>
          </w:r>
          <w:r>
            <w:fldChar w:fldCharType="end"/>
          </w:r>
        </w:p>
        <w:p>
          <w:pPr>
            <w:pStyle w:val="16"/>
            <w:tabs>
              <w:tab w:val="right" w:leader="dot" w:pos="8494"/>
            </w:tabs>
            <w:rPr>
              <w:rFonts w:asciiTheme="minorHAnsi" w:hAnsiTheme="minorHAnsi" w:eastAsiaTheme="minorEastAsia" w:cstheme="minorBidi"/>
              <w:b w:val="0"/>
              <w:szCs w:val="22"/>
            </w:rPr>
          </w:pPr>
          <w:r>
            <w:fldChar w:fldCharType="begin"/>
          </w:r>
          <w:r>
            <w:instrText xml:space="preserve"> HYPERLINK \l "_Toc89102215" </w:instrText>
          </w:r>
          <w:r>
            <w:fldChar w:fldCharType="separate"/>
          </w:r>
          <w:r>
            <w:rPr>
              <w:rStyle w:val="25"/>
              <w:rFonts w:cs="宋体" w:asciiTheme="majorEastAsia" w:hAnsiTheme="majorEastAsia" w:eastAsiaTheme="majorEastAsia"/>
              <w:bCs/>
              <w:kern w:val="44"/>
            </w:rPr>
            <w:t>附表</w:t>
          </w:r>
          <w:r>
            <w:rPr>
              <w:rStyle w:val="25"/>
              <w:rFonts w:asciiTheme="majorEastAsia" w:hAnsiTheme="majorEastAsia" w:eastAsiaTheme="majorEastAsia"/>
              <w:bCs/>
              <w:kern w:val="44"/>
            </w:rPr>
            <w:t xml:space="preserve">2  </w:t>
          </w:r>
          <w:r>
            <w:rPr>
              <w:rStyle w:val="25"/>
              <w:rFonts w:cs="宋体" w:asciiTheme="majorEastAsia" w:hAnsiTheme="majorEastAsia" w:eastAsiaTheme="majorEastAsia"/>
              <w:bCs/>
              <w:kern w:val="44"/>
            </w:rPr>
            <w:t>六盘水市</w:t>
          </w:r>
          <w:r>
            <w:rPr>
              <w:rStyle w:val="25"/>
              <w:rFonts w:asciiTheme="majorEastAsia" w:hAnsiTheme="majorEastAsia" w:eastAsiaTheme="majorEastAsia"/>
              <w:bCs/>
              <w:kern w:val="44"/>
            </w:rPr>
            <w:t>“</w:t>
          </w:r>
          <w:r>
            <w:rPr>
              <w:rStyle w:val="25"/>
              <w:rFonts w:cs="宋体" w:asciiTheme="majorEastAsia" w:hAnsiTheme="majorEastAsia" w:eastAsiaTheme="majorEastAsia"/>
              <w:bCs/>
              <w:kern w:val="44"/>
            </w:rPr>
            <w:t>十四五</w:t>
          </w:r>
          <w:r>
            <w:rPr>
              <w:rStyle w:val="25"/>
              <w:rFonts w:asciiTheme="majorEastAsia" w:hAnsiTheme="majorEastAsia" w:eastAsiaTheme="majorEastAsia"/>
              <w:bCs/>
              <w:kern w:val="44"/>
            </w:rPr>
            <w:t>”</w:t>
          </w:r>
          <w:r>
            <w:rPr>
              <w:rStyle w:val="25"/>
              <w:rFonts w:cs="宋体" w:asciiTheme="majorEastAsia" w:hAnsiTheme="majorEastAsia" w:eastAsiaTheme="majorEastAsia"/>
              <w:bCs/>
              <w:kern w:val="44"/>
            </w:rPr>
            <w:t>普通国省干线建设项目表</w:t>
          </w:r>
          <w:r>
            <w:tab/>
          </w:r>
          <w:r>
            <w:fldChar w:fldCharType="begin"/>
          </w:r>
          <w:r>
            <w:instrText xml:space="preserve"> PAGEREF _Toc89102215 \h </w:instrText>
          </w:r>
          <w:r>
            <w:fldChar w:fldCharType="separate"/>
          </w:r>
          <w:r>
            <w:t>118</w:t>
          </w:r>
          <w:r>
            <w:fldChar w:fldCharType="end"/>
          </w:r>
          <w:r>
            <w:fldChar w:fldCharType="end"/>
          </w:r>
        </w:p>
        <w:p>
          <w:pPr>
            <w:pStyle w:val="16"/>
            <w:tabs>
              <w:tab w:val="right" w:leader="dot" w:pos="8494"/>
            </w:tabs>
            <w:rPr>
              <w:rFonts w:asciiTheme="minorHAnsi" w:hAnsiTheme="minorHAnsi" w:eastAsiaTheme="minorEastAsia" w:cstheme="minorBidi"/>
              <w:b w:val="0"/>
              <w:szCs w:val="22"/>
            </w:rPr>
          </w:pPr>
          <w:r>
            <w:fldChar w:fldCharType="begin"/>
          </w:r>
          <w:r>
            <w:instrText xml:space="preserve"> HYPERLINK \l "_Toc89102216" </w:instrText>
          </w:r>
          <w:r>
            <w:fldChar w:fldCharType="separate"/>
          </w:r>
          <w:r>
            <w:rPr>
              <w:rStyle w:val="25"/>
              <w:rFonts w:cs="宋体" w:asciiTheme="majorEastAsia" w:hAnsiTheme="majorEastAsia" w:eastAsiaTheme="majorEastAsia"/>
              <w:bCs/>
              <w:kern w:val="44"/>
            </w:rPr>
            <w:t>附表</w:t>
          </w:r>
          <w:r>
            <w:rPr>
              <w:rStyle w:val="25"/>
              <w:rFonts w:asciiTheme="majorEastAsia" w:hAnsiTheme="majorEastAsia" w:eastAsiaTheme="majorEastAsia"/>
              <w:bCs/>
              <w:kern w:val="44"/>
            </w:rPr>
            <w:t xml:space="preserve">3  </w:t>
          </w:r>
          <w:r>
            <w:rPr>
              <w:rStyle w:val="25"/>
              <w:rFonts w:cs="宋体" w:asciiTheme="majorEastAsia" w:hAnsiTheme="majorEastAsia" w:eastAsiaTheme="majorEastAsia"/>
              <w:bCs/>
              <w:kern w:val="44"/>
            </w:rPr>
            <w:t>六盘水市</w:t>
          </w:r>
          <w:r>
            <w:rPr>
              <w:rStyle w:val="25"/>
              <w:rFonts w:asciiTheme="majorEastAsia" w:hAnsiTheme="majorEastAsia" w:eastAsiaTheme="majorEastAsia"/>
              <w:bCs/>
              <w:kern w:val="44"/>
            </w:rPr>
            <w:t>“</w:t>
          </w:r>
          <w:r>
            <w:rPr>
              <w:rStyle w:val="25"/>
              <w:rFonts w:cs="宋体" w:asciiTheme="majorEastAsia" w:hAnsiTheme="majorEastAsia" w:eastAsiaTheme="majorEastAsia"/>
              <w:bCs/>
              <w:kern w:val="44"/>
            </w:rPr>
            <w:t>十四五</w:t>
          </w:r>
          <w:r>
            <w:rPr>
              <w:rStyle w:val="25"/>
              <w:rFonts w:asciiTheme="majorEastAsia" w:hAnsiTheme="majorEastAsia" w:eastAsiaTheme="majorEastAsia"/>
              <w:bCs/>
              <w:kern w:val="44"/>
            </w:rPr>
            <w:t>”</w:t>
          </w:r>
          <w:r>
            <w:rPr>
              <w:rStyle w:val="25"/>
              <w:rFonts w:cs="宋体" w:asciiTheme="majorEastAsia" w:hAnsiTheme="majorEastAsia" w:eastAsiaTheme="majorEastAsia"/>
              <w:bCs/>
              <w:kern w:val="44"/>
            </w:rPr>
            <w:t>乡镇通二级以上公路建设项目</w:t>
          </w:r>
          <w:r>
            <w:tab/>
          </w:r>
          <w:r>
            <w:fldChar w:fldCharType="begin"/>
          </w:r>
          <w:r>
            <w:instrText xml:space="preserve"> PAGEREF _Toc89102216 \h </w:instrText>
          </w:r>
          <w:r>
            <w:fldChar w:fldCharType="separate"/>
          </w:r>
          <w:r>
            <w:t>121</w:t>
          </w:r>
          <w:r>
            <w:fldChar w:fldCharType="end"/>
          </w:r>
          <w:r>
            <w:fldChar w:fldCharType="end"/>
          </w:r>
        </w:p>
        <w:p>
          <w:pPr>
            <w:pStyle w:val="16"/>
            <w:tabs>
              <w:tab w:val="right" w:leader="dot" w:pos="8494"/>
            </w:tabs>
            <w:rPr>
              <w:rFonts w:asciiTheme="minorHAnsi" w:hAnsiTheme="minorHAnsi" w:eastAsiaTheme="minorEastAsia" w:cstheme="minorBidi"/>
              <w:b w:val="0"/>
              <w:szCs w:val="22"/>
            </w:rPr>
          </w:pPr>
          <w:r>
            <w:fldChar w:fldCharType="begin"/>
          </w:r>
          <w:r>
            <w:instrText xml:space="preserve"> HYPERLINK \l "_Toc89102217" </w:instrText>
          </w:r>
          <w:r>
            <w:fldChar w:fldCharType="separate"/>
          </w:r>
          <w:r>
            <w:rPr>
              <w:rStyle w:val="25"/>
              <w:rFonts w:cs="宋体" w:asciiTheme="majorEastAsia" w:hAnsiTheme="majorEastAsia" w:eastAsiaTheme="majorEastAsia"/>
              <w:bCs/>
              <w:kern w:val="44"/>
            </w:rPr>
            <w:t>附表</w:t>
          </w:r>
          <w:r>
            <w:rPr>
              <w:rStyle w:val="25"/>
              <w:rFonts w:asciiTheme="majorEastAsia" w:hAnsiTheme="majorEastAsia" w:eastAsiaTheme="majorEastAsia"/>
              <w:bCs/>
              <w:kern w:val="44"/>
            </w:rPr>
            <w:t xml:space="preserve">4  </w:t>
          </w:r>
          <w:r>
            <w:rPr>
              <w:rStyle w:val="25"/>
              <w:rFonts w:cs="宋体" w:asciiTheme="majorEastAsia" w:hAnsiTheme="majorEastAsia" w:eastAsiaTheme="majorEastAsia"/>
              <w:bCs/>
              <w:kern w:val="44"/>
            </w:rPr>
            <w:t>六盘水市</w:t>
          </w:r>
          <w:r>
            <w:rPr>
              <w:rStyle w:val="25"/>
              <w:rFonts w:asciiTheme="majorEastAsia" w:hAnsiTheme="majorEastAsia" w:eastAsiaTheme="majorEastAsia"/>
              <w:bCs/>
              <w:kern w:val="44"/>
            </w:rPr>
            <w:t>“</w:t>
          </w:r>
          <w:r>
            <w:rPr>
              <w:rStyle w:val="25"/>
              <w:rFonts w:cs="宋体" w:asciiTheme="majorEastAsia" w:hAnsiTheme="majorEastAsia" w:eastAsiaTheme="majorEastAsia"/>
              <w:bCs/>
              <w:kern w:val="44"/>
            </w:rPr>
            <w:t>十四五</w:t>
          </w:r>
          <w:r>
            <w:rPr>
              <w:rStyle w:val="25"/>
              <w:rFonts w:asciiTheme="majorEastAsia" w:hAnsiTheme="majorEastAsia" w:eastAsiaTheme="majorEastAsia"/>
              <w:bCs/>
              <w:kern w:val="44"/>
            </w:rPr>
            <w:t>”</w:t>
          </w:r>
          <w:r>
            <w:rPr>
              <w:rStyle w:val="25"/>
              <w:rFonts w:cs="宋体" w:asciiTheme="majorEastAsia" w:hAnsiTheme="majorEastAsia" w:eastAsiaTheme="majorEastAsia"/>
              <w:bCs/>
              <w:kern w:val="44"/>
            </w:rPr>
            <w:t>建制村通双车道公路改造</w:t>
          </w:r>
          <w:r>
            <w:tab/>
          </w:r>
          <w:r>
            <w:fldChar w:fldCharType="begin"/>
          </w:r>
          <w:r>
            <w:instrText xml:space="preserve"> PAGEREF _Toc89102217 \h </w:instrText>
          </w:r>
          <w:r>
            <w:fldChar w:fldCharType="separate"/>
          </w:r>
          <w:r>
            <w:t>124</w:t>
          </w:r>
          <w:r>
            <w:fldChar w:fldCharType="end"/>
          </w:r>
          <w:r>
            <w:fldChar w:fldCharType="end"/>
          </w:r>
        </w:p>
        <w:p>
          <w:pPr>
            <w:pStyle w:val="16"/>
            <w:tabs>
              <w:tab w:val="right" w:leader="dot" w:pos="8494"/>
            </w:tabs>
            <w:rPr>
              <w:rFonts w:asciiTheme="minorHAnsi" w:hAnsiTheme="minorHAnsi" w:eastAsiaTheme="minorEastAsia" w:cstheme="minorBidi"/>
              <w:b w:val="0"/>
              <w:szCs w:val="22"/>
            </w:rPr>
          </w:pPr>
          <w:r>
            <w:fldChar w:fldCharType="begin"/>
          </w:r>
          <w:r>
            <w:instrText xml:space="preserve"> HYPERLINK \l "_Toc89102218" </w:instrText>
          </w:r>
          <w:r>
            <w:fldChar w:fldCharType="separate"/>
          </w:r>
          <w:r>
            <w:rPr>
              <w:rStyle w:val="25"/>
              <w:rFonts w:cs="宋体" w:asciiTheme="majorEastAsia" w:hAnsiTheme="majorEastAsia" w:eastAsiaTheme="majorEastAsia"/>
              <w:bCs/>
              <w:kern w:val="44"/>
            </w:rPr>
            <w:t>附表</w:t>
          </w:r>
          <w:r>
            <w:rPr>
              <w:rStyle w:val="25"/>
              <w:rFonts w:asciiTheme="majorEastAsia" w:hAnsiTheme="majorEastAsia" w:eastAsiaTheme="majorEastAsia"/>
              <w:bCs/>
              <w:kern w:val="44"/>
            </w:rPr>
            <w:t xml:space="preserve">5  </w:t>
          </w:r>
          <w:r>
            <w:rPr>
              <w:rStyle w:val="25"/>
              <w:rFonts w:cs="宋体" w:asciiTheme="majorEastAsia" w:hAnsiTheme="majorEastAsia" w:eastAsiaTheme="majorEastAsia"/>
              <w:bCs/>
              <w:kern w:val="44"/>
            </w:rPr>
            <w:t>六盘水市</w:t>
          </w:r>
          <w:r>
            <w:rPr>
              <w:rStyle w:val="25"/>
              <w:rFonts w:asciiTheme="majorEastAsia" w:hAnsiTheme="majorEastAsia" w:eastAsiaTheme="majorEastAsia"/>
              <w:bCs/>
              <w:kern w:val="44"/>
            </w:rPr>
            <w:t>“</w:t>
          </w:r>
          <w:r>
            <w:rPr>
              <w:rStyle w:val="25"/>
              <w:rFonts w:cs="宋体" w:asciiTheme="majorEastAsia" w:hAnsiTheme="majorEastAsia" w:eastAsiaTheme="majorEastAsia"/>
              <w:bCs/>
              <w:kern w:val="44"/>
            </w:rPr>
            <w:t>十四五</w:t>
          </w:r>
          <w:r>
            <w:rPr>
              <w:rStyle w:val="25"/>
              <w:rFonts w:asciiTheme="majorEastAsia" w:hAnsiTheme="majorEastAsia" w:eastAsiaTheme="majorEastAsia"/>
              <w:bCs/>
              <w:kern w:val="44"/>
            </w:rPr>
            <w:t>”</w:t>
          </w:r>
          <w:r>
            <w:rPr>
              <w:rStyle w:val="25"/>
              <w:rFonts w:cs="宋体" w:asciiTheme="majorEastAsia" w:hAnsiTheme="majorEastAsia" w:eastAsiaTheme="majorEastAsia"/>
              <w:bCs/>
              <w:kern w:val="44"/>
            </w:rPr>
            <w:t>内河水运建设项目表</w:t>
          </w:r>
          <w:r>
            <w:tab/>
          </w:r>
          <w:r>
            <w:fldChar w:fldCharType="begin"/>
          </w:r>
          <w:r>
            <w:instrText xml:space="preserve"> PAGEREF _Toc89102218 \h </w:instrText>
          </w:r>
          <w:r>
            <w:fldChar w:fldCharType="separate"/>
          </w:r>
          <w:r>
            <w:t>132</w:t>
          </w:r>
          <w:r>
            <w:fldChar w:fldCharType="end"/>
          </w:r>
          <w:r>
            <w:fldChar w:fldCharType="end"/>
          </w:r>
        </w:p>
        <w:p>
          <w:pPr>
            <w:pStyle w:val="16"/>
            <w:tabs>
              <w:tab w:val="right" w:leader="dot" w:pos="8494"/>
            </w:tabs>
            <w:rPr>
              <w:rFonts w:asciiTheme="minorHAnsi" w:hAnsiTheme="minorHAnsi" w:eastAsiaTheme="minorEastAsia" w:cstheme="minorBidi"/>
              <w:b w:val="0"/>
              <w:szCs w:val="22"/>
            </w:rPr>
          </w:pPr>
          <w:r>
            <w:fldChar w:fldCharType="begin"/>
          </w:r>
          <w:r>
            <w:instrText xml:space="preserve"> HYPERLINK \l "_Toc89102219" </w:instrText>
          </w:r>
          <w:r>
            <w:fldChar w:fldCharType="separate"/>
          </w:r>
          <w:r>
            <w:rPr>
              <w:rStyle w:val="25"/>
              <w:rFonts w:cs="宋体" w:asciiTheme="majorEastAsia" w:hAnsiTheme="majorEastAsia" w:eastAsiaTheme="majorEastAsia"/>
              <w:bCs/>
              <w:kern w:val="44"/>
            </w:rPr>
            <w:t>附表</w:t>
          </w:r>
          <w:r>
            <w:rPr>
              <w:rStyle w:val="25"/>
              <w:rFonts w:asciiTheme="majorEastAsia" w:hAnsiTheme="majorEastAsia" w:eastAsiaTheme="majorEastAsia"/>
              <w:bCs/>
              <w:kern w:val="44"/>
            </w:rPr>
            <w:t xml:space="preserve">6  </w:t>
          </w:r>
          <w:r>
            <w:rPr>
              <w:rStyle w:val="25"/>
              <w:rFonts w:cs="宋体" w:asciiTheme="majorEastAsia" w:hAnsiTheme="majorEastAsia" w:eastAsiaTheme="majorEastAsia"/>
              <w:bCs/>
              <w:kern w:val="44"/>
            </w:rPr>
            <w:t>六盘水市</w:t>
          </w:r>
          <w:r>
            <w:rPr>
              <w:rStyle w:val="25"/>
              <w:rFonts w:asciiTheme="majorEastAsia" w:hAnsiTheme="majorEastAsia" w:eastAsiaTheme="majorEastAsia"/>
              <w:bCs/>
              <w:kern w:val="44"/>
            </w:rPr>
            <w:t>“</w:t>
          </w:r>
          <w:r>
            <w:rPr>
              <w:rStyle w:val="25"/>
              <w:rFonts w:cs="宋体" w:asciiTheme="majorEastAsia" w:hAnsiTheme="majorEastAsia" w:eastAsiaTheme="majorEastAsia"/>
              <w:bCs/>
              <w:kern w:val="44"/>
            </w:rPr>
            <w:t>十四五</w:t>
          </w:r>
          <w:r>
            <w:rPr>
              <w:rStyle w:val="25"/>
              <w:rFonts w:asciiTheme="majorEastAsia" w:hAnsiTheme="majorEastAsia" w:eastAsiaTheme="majorEastAsia"/>
              <w:bCs/>
              <w:kern w:val="44"/>
            </w:rPr>
            <w:t>”</w:t>
          </w:r>
          <w:r>
            <w:rPr>
              <w:rStyle w:val="25"/>
              <w:rFonts w:cs="宋体" w:asciiTheme="majorEastAsia" w:hAnsiTheme="majorEastAsia" w:eastAsiaTheme="majorEastAsia"/>
              <w:bCs/>
              <w:kern w:val="44"/>
            </w:rPr>
            <w:t>枢纽场站建设项目表</w:t>
          </w:r>
          <w:r>
            <w:tab/>
          </w:r>
          <w:r>
            <w:fldChar w:fldCharType="begin"/>
          </w:r>
          <w:r>
            <w:instrText xml:space="preserve"> PAGEREF _Toc89102219 \h </w:instrText>
          </w:r>
          <w:r>
            <w:fldChar w:fldCharType="separate"/>
          </w:r>
          <w:r>
            <w:t>134</w:t>
          </w:r>
          <w:r>
            <w:fldChar w:fldCharType="end"/>
          </w:r>
          <w:r>
            <w:fldChar w:fldCharType="end"/>
          </w:r>
        </w:p>
        <w:p>
          <w:pPr>
            <w:pStyle w:val="16"/>
            <w:tabs>
              <w:tab w:val="right" w:leader="dot" w:pos="8494"/>
            </w:tabs>
            <w:rPr>
              <w:rFonts w:asciiTheme="minorHAnsi" w:hAnsiTheme="minorHAnsi" w:eastAsiaTheme="minorEastAsia" w:cstheme="minorBidi"/>
              <w:b w:val="0"/>
              <w:szCs w:val="22"/>
            </w:rPr>
          </w:pPr>
          <w:r>
            <w:fldChar w:fldCharType="begin"/>
          </w:r>
          <w:r>
            <w:instrText xml:space="preserve"> HYPERLINK \l "_Toc89102220" </w:instrText>
          </w:r>
          <w:r>
            <w:fldChar w:fldCharType="separate"/>
          </w:r>
          <w:r>
            <w:rPr>
              <w:rStyle w:val="25"/>
              <w:rFonts w:cs="宋体" w:asciiTheme="majorEastAsia" w:hAnsiTheme="majorEastAsia" w:eastAsiaTheme="majorEastAsia"/>
              <w:bCs/>
              <w:kern w:val="44"/>
            </w:rPr>
            <w:t>附表</w:t>
          </w:r>
          <w:r>
            <w:rPr>
              <w:rStyle w:val="25"/>
              <w:rFonts w:asciiTheme="majorEastAsia" w:hAnsiTheme="majorEastAsia" w:eastAsiaTheme="majorEastAsia"/>
              <w:bCs/>
              <w:kern w:val="44"/>
            </w:rPr>
            <w:t xml:space="preserve">7  </w:t>
          </w:r>
          <w:r>
            <w:rPr>
              <w:rStyle w:val="25"/>
              <w:rFonts w:cs="宋体" w:asciiTheme="majorEastAsia" w:hAnsiTheme="majorEastAsia" w:eastAsiaTheme="majorEastAsia"/>
              <w:bCs/>
              <w:kern w:val="44"/>
            </w:rPr>
            <w:t>六盘水市</w:t>
          </w:r>
          <w:r>
            <w:rPr>
              <w:rStyle w:val="25"/>
              <w:rFonts w:asciiTheme="majorEastAsia" w:hAnsiTheme="majorEastAsia" w:eastAsiaTheme="majorEastAsia"/>
              <w:bCs/>
              <w:kern w:val="44"/>
            </w:rPr>
            <w:t>“</w:t>
          </w:r>
          <w:r>
            <w:rPr>
              <w:rStyle w:val="25"/>
              <w:rFonts w:cs="宋体" w:asciiTheme="majorEastAsia" w:hAnsiTheme="majorEastAsia" w:eastAsiaTheme="majorEastAsia"/>
              <w:bCs/>
              <w:kern w:val="44"/>
            </w:rPr>
            <w:t>十四五</w:t>
          </w:r>
          <w:r>
            <w:rPr>
              <w:rStyle w:val="25"/>
              <w:rFonts w:asciiTheme="majorEastAsia" w:hAnsiTheme="majorEastAsia" w:eastAsiaTheme="majorEastAsia"/>
              <w:bCs/>
              <w:kern w:val="44"/>
            </w:rPr>
            <w:t>”</w:t>
          </w:r>
          <w:r>
            <w:rPr>
              <w:rStyle w:val="25"/>
              <w:rFonts w:cs="宋体" w:asciiTheme="majorEastAsia" w:hAnsiTheme="majorEastAsia" w:eastAsiaTheme="majorEastAsia"/>
              <w:bCs/>
              <w:kern w:val="44"/>
            </w:rPr>
            <w:t>旅游路建设项目表</w:t>
          </w:r>
          <w:r>
            <w:tab/>
          </w:r>
          <w:r>
            <w:fldChar w:fldCharType="begin"/>
          </w:r>
          <w:r>
            <w:instrText xml:space="preserve"> PAGEREF _Toc89102220 \h </w:instrText>
          </w:r>
          <w:r>
            <w:fldChar w:fldCharType="separate"/>
          </w:r>
          <w:r>
            <w:t>138</w:t>
          </w:r>
          <w:r>
            <w:fldChar w:fldCharType="end"/>
          </w:r>
          <w:r>
            <w:fldChar w:fldCharType="end"/>
          </w:r>
        </w:p>
        <w:p>
          <w:pPr>
            <w:pStyle w:val="16"/>
            <w:tabs>
              <w:tab w:val="right" w:leader="dot" w:pos="8494"/>
            </w:tabs>
            <w:rPr>
              <w:rFonts w:asciiTheme="minorHAnsi" w:hAnsiTheme="minorHAnsi" w:eastAsiaTheme="minorEastAsia" w:cstheme="minorBidi"/>
              <w:b w:val="0"/>
              <w:szCs w:val="22"/>
            </w:rPr>
          </w:pPr>
          <w:r>
            <w:fldChar w:fldCharType="begin"/>
          </w:r>
          <w:r>
            <w:instrText xml:space="preserve"> HYPERLINK \l "_Toc89102221" </w:instrText>
          </w:r>
          <w:r>
            <w:fldChar w:fldCharType="separate"/>
          </w:r>
          <w:r>
            <w:rPr>
              <w:rStyle w:val="25"/>
              <w:rFonts w:cs="宋体" w:asciiTheme="majorEastAsia" w:hAnsiTheme="majorEastAsia" w:eastAsiaTheme="majorEastAsia"/>
              <w:bCs/>
              <w:kern w:val="44"/>
            </w:rPr>
            <w:t>附表8</w:t>
          </w:r>
          <w:r>
            <w:rPr>
              <w:rStyle w:val="25"/>
              <w:rFonts w:asciiTheme="majorEastAsia" w:hAnsiTheme="majorEastAsia" w:eastAsiaTheme="majorEastAsia"/>
              <w:bCs/>
              <w:kern w:val="44"/>
            </w:rPr>
            <w:t xml:space="preserve">  </w:t>
          </w:r>
          <w:r>
            <w:rPr>
              <w:rStyle w:val="25"/>
              <w:rFonts w:cs="宋体" w:asciiTheme="majorEastAsia" w:hAnsiTheme="majorEastAsia" w:eastAsiaTheme="majorEastAsia"/>
              <w:bCs/>
              <w:kern w:val="44"/>
            </w:rPr>
            <w:t>六盘水市</w:t>
          </w:r>
          <w:r>
            <w:rPr>
              <w:rStyle w:val="25"/>
              <w:rFonts w:asciiTheme="majorEastAsia" w:hAnsiTheme="majorEastAsia" w:eastAsiaTheme="majorEastAsia"/>
              <w:bCs/>
              <w:kern w:val="44"/>
            </w:rPr>
            <w:t>“</w:t>
          </w:r>
          <w:r>
            <w:rPr>
              <w:rStyle w:val="25"/>
              <w:rFonts w:cs="宋体" w:asciiTheme="majorEastAsia" w:hAnsiTheme="majorEastAsia" w:eastAsiaTheme="majorEastAsia"/>
              <w:bCs/>
              <w:kern w:val="44"/>
            </w:rPr>
            <w:t>十四五</w:t>
          </w:r>
          <w:r>
            <w:rPr>
              <w:rStyle w:val="25"/>
              <w:rFonts w:asciiTheme="majorEastAsia" w:hAnsiTheme="majorEastAsia" w:eastAsiaTheme="majorEastAsia"/>
              <w:bCs/>
              <w:kern w:val="44"/>
            </w:rPr>
            <w:t>”</w:t>
          </w:r>
          <w:r>
            <w:rPr>
              <w:rStyle w:val="25"/>
              <w:rFonts w:cs="宋体" w:asciiTheme="majorEastAsia" w:hAnsiTheme="majorEastAsia" w:eastAsiaTheme="majorEastAsia"/>
              <w:bCs/>
              <w:kern w:val="44"/>
            </w:rPr>
            <w:t>联网路建设项目表</w:t>
          </w:r>
          <w:r>
            <w:tab/>
          </w:r>
          <w:r>
            <w:fldChar w:fldCharType="begin"/>
          </w:r>
          <w:r>
            <w:instrText xml:space="preserve"> PAGEREF _Toc89102221 \h </w:instrText>
          </w:r>
          <w:r>
            <w:fldChar w:fldCharType="separate"/>
          </w:r>
          <w:r>
            <w:t>140</w:t>
          </w:r>
          <w:r>
            <w:fldChar w:fldCharType="end"/>
          </w:r>
          <w:r>
            <w:fldChar w:fldCharType="end"/>
          </w:r>
        </w:p>
        <w:p>
          <w:pPr>
            <w:pStyle w:val="16"/>
            <w:tabs>
              <w:tab w:val="right" w:leader="dot" w:pos="8494"/>
            </w:tabs>
            <w:rPr>
              <w:rFonts w:asciiTheme="minorHAnsi" w:hAnsiTheme="minorHAnsi" w:eastAsiaTheme="minorEastAsia" w:cstheme="minorBidi"/>
              <w:b w:val="0"/>
              <w:szCs w:val="22"/>
            </w:rPr>
          </w:pPr>
          <w:r>
            <w:fldChar w:fldCharType="begin"/>
          </w:r>
          <w:r>
            <w:instrText xml:space="preserve"> HYPERLINK \l "_Toc89102222" </w:instrText>
          </w:r>
          <w:r>
            <w:fldChar w:fldCharType="separate"/>
          </w:r>
          <w:r>
            <w:rPr>
              <w:rStyle w:val="25"/>
              <w:rFonts w:cs="宋体" w:asciiTheme="majorEastAsia" w:hAnsiTheme="majorEastAsia" w:eastAsiaTheme="majorEastAsia"/>
              <w:bCs/>
              <w:kern w:val="44"/>
            </w:rPr>
            <w:t>附表</w:t>
          </w:r>
          <w:r>
            <w:rPr>
              <w:rStyle w:val="25"/>
              <w:rFonts w:asciiTheme="majorEastAsia" w:hAnsiTheme="majorEastAsia" w:eastAsiaTheme="majorEastAsia"/>
              <w:bCs/>
              <w:kern w:val="44"/>
            </w:rPr>
            <w:t xml:space="preserve">9  </w:t>
          </w:r>
          <w:r>
            <w:rPr>
              <w:rStyle w:val="25"/>
              <w:rFonts w:cs="宋体" w:asciiTheme="majorEastAsia" w:hAnsiTheme="majorEastAsia" w:eastAsiaTheme="majorEastAsia"/>
              <w:bCs/>
              <w:kern w:val="44"/>
            </w:rPr>
            <w:t>六盘水市</w:t>
          </w:r>
          <w:r>
            <w:rPr>
              <w:rStyle w:val="25"/>
              <w:rFonts w:asciiTheme="majorEastAsia" w:hAnsiTheme="majorEastAsia" w:eastAsiaTheme="majorEastAsia"/>
              <w:bCs/>
              <w:kern w:val="44"/>
            </w:rPr>
            <w:t>“</w:t>
          </w:r>
          <w:r>
            <w:rPr>
              <w:rStyle w:val="25"/>
              <w:rFonts w:cs="宋体" w:asciiTheme="majorEastAsia" w:hAnsiTheme="majorEastAsia" w:eastAsiaTheme="majorEastAsia"/>
              <w:bCs/>
              <w:kern w:val="44"/>
            </w:rPr>
            <w:t>十四五</w:t>
          </w:r>
          <w:r>
            <w:rPr>
              <w:rStyle w:val="25"/>
              <w:rFonts w:asciiTheme="majorEastAsia" w:hAnsiTheme="majorEastAsia" w:eastAsiaTheme="majorEastAsia"/>
              <w:bCs/>
              <w:kern w:val="44"/>
            </w:rPr>
            <w:t>”</w:t>
          </w:r>
          <w:r>
            <w:rPr>
              <w:rStyle w:val="25"/>
              <w:rFonts w:cs="宋体" w:asciiTheme="majorEastAsia" w:hAnsiTheme="majorEastAsia" w:eastAsiaTheme="majorEastAsia"/>
              <w:bCs/>
              <w:kern w:val="44"/>
            </w:rPr>
            <w:t>安防工程建设项目表</w:t>
          </w:r>
          <w:r>
            <w:tab/>
          </w:r>
          <w:r>
            <w:fldChar w:fldCharType="begin"/>
          </w:r>
          <w:r>
            <w:instrText xml:space="preserve"> PAGEREF _Toc89102222 \h </w:instrText>
          </w:r>
          <w:r>
            <w:fldChar w:fldCharType="separate"/>
          </w:r>
          <w:r>
            <w:t>142</w:t>
          </w:r>
          <w:r>
            <w:fldChar w:fldCharType="end"/>
          </w:r>
          <w:r>
            <w:fldChar w:fldCharType="end"/>
          </w:r>
        </w:p>
        <w:p>
          <w:pPr>
            <w:pStyle w:val="16"/>
            <w:tabs>
              <w:tab w:val="right" w:leader="dot" w:pos="8494"/>
            </w:tabs>
            <w:rPr>
              <w:rFonts w:asciiTheme="minorHAnsi" w:hAnsiTheme="minorHAnsi" w:eastAsiaTheme="minorEastAsia" w:cstheme="minorBidi"/>
              <w:b w:val="0"/>
              <w:szCs w:val="22"/>
            </w:rPr>
          </w:pPr>
          <w:r>
            <w:fldChar w:fldCharType="begin"/>
          </w:r>
          <w:r>
            <w:instrText xml:space="preserve"> HYPERLINK \l "_Toc89102223" </w:instrText>
          </w:r>
          <w:r>
            <w:fldChar w:fldCharType="separate"/>
          </w:r>
          <w:r>
            <w:rPr>
              <w:rStyle w:val="25"/>
              <w:rFonts w:cs="宋体" w:asciiTheme="majorEastAsia" w:hAnsiTheme="majorEastAsia" w:eastAsiaTheme="majorEastAsia"/>
              <w:bCs/>
              <w:kern w:val="44"/>
            </w:rPr>
            <w:t>附表</w:t>
          </w:r>
          <w:r>
            <w:rPr>
              <w:rStyle w:val="25"/>
              <w:rFonts w:asciiTheme="majorEastAsia" w:hAnsiTheme="majorEastAsia" w:eastAsiaTheme="majorEastAsia"/>
              <w:bCs/>
              <w:kern w:val="44"/>
            </w:rPr>
            <w:t xml:space="preserve">10  </w:t>
          </w:r>
          <w:r>
            <w:rPr>
              <w:rStyle w:val="25"/>
              <w:rFonts w:cs="宋体" w:asciiTheme="majorEastAsia" w:hAnsiTheme="majorEastAsia" w:eastAsiaTheme="majorEastAsia"/>
              <w:bCs/>
              <w:kern w:val="44"/>
            </w:rPr>
            <w:t>六盘水市</w:t>
          </w:r>
          <w:r>
            <w:rPr>
              <w:rStyle w:val="25"/>
              <w:rFonts w:asciiTheme="majorEastAsia" w:hAnsiTheme="majorEastAsia" w:eastAsiaTheme="majorEastAsia"/>
              <w:bCs/>
              <w:kern w:val="44"/>
            </w:rPr>
            <w:t>“</w:t>
          </w:r>
          <w:r>
            <w:rPr>
              <w:rStyle w:val="25"/>
              <w:rFonts w:cs="宋体" w:asciiTheme="majorEastAsia" w:hAnsiTheme="majorEastAsia" w:eastAsiaTheme="majorEastAsia"/>
              <w:bCs/>
              <w:kern w:val="44"/>
            </w:rPr>
            <w:t>十四五</w:t>
          </w:r>
          <w:r>
            <w:rPr>
              <w:rStyle w:val="25"/>
              <w:rFonts w:asciiTheme="majorEastAsia" w:hAnsiTheme="majorEastAsia" w:eastAsiaTheme="majorEastAsia"/>
              <w:bCs/>
              <w:kern w:val="44"/>
            </w:rPr>
            <w:t>”</w:t>
          </w:r>
          <w:r>
            <w:rPr>
              <w:rStyle w:val="25"/>
              <w:rFonts w:cs="宋体" w:asciiTheme="majorEastAsia" w:hAnsiTheme="majorEastAsia" w:eastAsiaTheme="majorEastAsia"/>
              <w:bCs/>
              <w:kern w:val="44"/>
            </w:rPr>
            <w:t>物流中心建设项目表</w:t>
          </w:r>
          <w:r>
            <w:tab/>
          </w:r>
          <w:r>
            <w:fldChar w:fldCharType="begin"/>
          </w:r>
          <w:r>
            <w:instrText xml:space="preserve"> PAGEREF _Toc89102223 \h </w:instrText>
          </w:r>
          <w:r>
            <w:fldChar w:fldCharType="separate"/>
          </w:r>
          <w:r>
            <w:t>143</w:t>
          </w:r>
          <w:r>
            <w:fldChar w:fldCharType="end"/>
          </w:r>
          <w:r>
            <w:fldChar w:fldCharType="end"/>
          </w:r>
        </w:p>
        <w:p>
          <w:pPr>
            <w:pStyle w:val="16"/>
            <w:tabs>
              <w:tab w:val="right" w:leader="dot" w:pos="8494"/>
            </w:tabs>
            <w:rPr>
              <w:rFonts w:asciiTheme="minorHAnsi" w:hAnsiTheme="minorHAnsi" w:eastAsiaTheme="minorEastAsia" w:cstheme="minorBidi"/>
              <w:b w:val="0"/>
              <w:szCs w:val="22"/>
            </w:rPr>
          </w:pPr>
          <w:r>
            <w:fldChar w:fldCharType="begin"/>
          </w:r>
          <w:r>
            <w:instrText xml:space="preserve"> HYPERLINK \l "_Toc89102224" </w:instrText>
          </w:r>
          <w:r>
            <w:fldChar w:fldCharType="separate"/>
          </w:r>
          <w:r>
            <w:rPr>
              <w:rStyle w:val="25"/>
              <w:rFonts w:cs="宋体" w:asciiTheme="majorEastAsia" w:hAnsiTheme="majorEastAsia" w:eastAsiaTheme="majorEastAsia"/>
              <w:bCs/>
              <w:kern w:val="44"/>
            </w:rPr>
            <w:t>附表</w:t>
          </w:r>
          <w:r>
            <w:rPr>
              <w:rStyle w:val="25"/>
              <w:rFonts w:asciiTheme="majorEastAsia" w:hAnsiTheme="majorEastAsia" w:eastAsiaTheme="majorEastAsia"/>
              <w:bCs/>
              <w:kern w:val="44"/>
            </w:rPr>
            <w:t xml:space="preserve">11  </w:t>
          </w:r>
          <w:r>
            <w:rPr>
              <w:rStyle w:val="25"/>
              <w:rFonts w:cs="宋体" w:asciiTheme="majorEastAsia" w:hAnsiTheme="majorEastAsia" w:eastAsiaTheme="majorEastAsia"/>
              <w:bCs/>
              <w:kern w:val="44"/>
            </w:rPr>
            <w:t>六盘水市</w:t>
          </w:r>
          <w:r>
            <w:rPr>
              <w:rStyle w:val="25"/>
              <w:rFonts w:asciiTheme="majorEastAsia" w:hAnsiTheme="majorEastAsia" w:eastAsiaTheme="majorEastAsia"/>
              <w:bCs/>
              <w:kern w:val="44"/>
            </w:rPr>
            <w:t>“</w:t>
          </w:r>
          <w:r>
            <w:rPr>
              <w:rStyle w:val="25"/>
              <w:rFonts w:cs="宋体" w:asciiTheme="majorEastAsia" w:hAnsiTheme="majorEastAsia" w:eastAsiaTheme="majorEastAsia"/>
              <w:bCs/>
              <w:kern w:val="44"/>
            </w:rPr>
            <w:t>十四五</w:t>
          </w:r>
          <w:r>
            <w:rPr>
              <w:rStyle w:val="25"/>
              <w:rFonts w:asciiTheme="majorEastAsia" w:hAnsiTheme="majorEastAsia" w:eastAsiaTheme="majorEastAsia"/>
              <w:bCs/>
              <w:kern w:val="44"/>
            </w:rPr>
            <w:t>”</w:t>
          </w:r>
          <w:r>
            <w:rPr>
              <w:rStyle w:val="25"/>
              <w:rFonts w:cs="宋体" w:asciiTheme="majorEastAsia" w:hAnsiTheme="majorEastAsia" w:eastAsiaTheme="majorEastAsia"/>
              <w:bCs/>
              <w:kern w:val="44"/>
            </w:rPr>
            <w:t>信息化建设项目表</w:t>
          </w:r>
          <w:r>
            <w:tab/>
          </w:r>
          <w:r>
            <w:fldChar w:fldCharType="begin"/>
          </w:r>
          <w:r>
            <w:instrText xml:space="preserve"> PAGEREF _Toc89102224 \h </w:instrText>
          </w:r>
          <w:r>
            <w:fldChar w:fldCharType="separate"/>
          </w:r>
          <w:r>
            <w:t>145</w:t>
          </w:r>
          <w:r>
            <w:fldChar w:fldCharType="end"/>
          </w:r>
          <w:r>
            <w:fldChar w:fldCharType="end"/>
          </w:r>
        </w:p>
        <w:p>
          <w:pPr>
            <w:rPr>
              <w:rFonts w:asciiTheme="majorEastAsia" w:hAnsiTheme="majorEastAsia" w:eastAsiaTheme="majorEastAsia"/>
              <w:sz w:val="24"/>
            </w:rPr>
          </w:pPr>
          <w:r>
            <w:rPr>
              <w:rFonts w:asciiTheme="majorEastAsia" w:hAnsiTheme="majorEastAsia" w:eastAsiaTheme="majorEastAsia"/>
              <w:b/>
              <w:sz w:val="24"/>
              <w:szCs w:val="28"/>
              <w:u w:val="single"/>
            </w:rPr>
            <w:fldChar w:fldCharType="end"/>
          </w:r>
        </w:p>
      </w:sdtContent>
    </w:sdt>
    <w:p>
      <w:pPr>
        <w:rPr>
          <w:rFonts w:asciiTheme="majorEastAsia" w:hAnsiTheme="majorEastAsia" w:eastAsiaTheme="majorEastAsia"/>
          <w:b/>
          <w:sz w:val="32"/>
          <w:szCs w:val="32"/>
        </w:rPr>
      </w:pPr>
    </w:p>
    <w:p>
      <w:pPr>
        <w:rPr>
          <w:rFonts w:asciiTheme="majorEastAsia" w:hAnsiTheme="majorEastAsia" w:eastAsiaTheme="majorEastAsia"/>
          <w:b/>
          <w:sz w:val="32"/>
          <w:szCs w:val="32"/>
        </w:rPr>
      </w:pPr>
    </w:p>
    <w:p>
      <w:pPr>
        <w:rPr>
          <w:rFonts w:asciiTheme="majorEastAsia" w:hAnsiTheme="majorEastAsia" w:eastAsiaTheme="majorEastAsia"/>
          <w:b/>
          <w:sz w:val="32"/>
          <w:szCs w:val="32"/>
        </w:rPr>
      </w:pPr>
    </w:p>
    <w:p>
      <w:pPr>
        <w:rPr>
          <w:rFonts w:asciiTheme="majorEastAsia" w:hAnsiTheme="majorEastAsia" w:eastAsiaTheme="majorEastAsia"/>
          <w:b/>
          <w:sz w:val="32"/>
          <w:szCs w:val="32"/>
        </w:rPr>
      </w:pPr>
    </w:p>
    <w:p>
      <w:pPr>
        <w:rPr>
          <w:rFonts w:asciiTheme="majorEastAsia" w:hAnsiTheme="majorEastAsia" w:eastAsiaTheme="majorEastAsia"/>
          <w:b/>
          <w:sz w:val="32"/>
          <w:szCs w:val="32"/>
        </w:rPr>
      </w:pPr>
    </w:p>
    <w:p>
      <w:pPr>
        <w:rPr>
          <w:rFonts w:asciiTheme="majorEastAsia" w:hAnsiTheme="majorEastAsia" w:eastAsiaTheme="majorEastAsia"/>
          <w:b/>
          <w:sz w:val="32"/>
          <w:szCs w:val="32"/>
        </w:rPr>
      </w:pPr>
    </w:p>
    <w:p>
      <w:pPr>
        <w:rPr>
          <w:rFonts w:asciiTheme="majorEastAsia" w:hAnsiTheme="majorEastAsia" w:eastAsiaTheme="majorEastAsia"/>
          <w:b/>
          <w:sz w:val="32"/>
          <w:szCs w:val="32"/>
        </w:rPr>
      </w:pPr>
    </w:p>
    <w:p>
      <w:pPr>
        <w:rPr>
          <w:rFonts w:asciiTheme="majorEastAsia" w:hAnsiTheme="majorEastAsia" w:eastAsiaTheme="majorEastAsia"/>
          <w:b/>
          <w:sz w:val="32"/>
          <w:szCs w:val="32"/>
        </w:rPr>
        <w:sectPr>
          <w:pgSz w:w="11906" w:h="16838"/>
          <w:pgMar w:top="1440" w:right="1701" w:bottom="1440" w:left="1701" w:header="851" w:footer="992" w:gutter="0"/>
          <w:pgNumType w:start="1"/>
          <w:cols w:space="720" w:num="1"/>
          <w:titlePg/>
          <w:docGrid w:type="lines" w:linePitch="312" w:charSpace="0"/>
        </w:sectPr>
      </w:pPr>
    </w:p>
    <w:p>
      <w:pPr>
        <w:pStyle w:val="2"/>
        <w:jc w:val="both"/>
        <w:rPr>
          <w:rFonts w:asciiTheme="majorEastAsia" w:hAnsiTheme="majorEastAsia" w:eastAsiaTheme="majorEastAsia"/>
        </w:rPr>
      </w:pPr>
      <w:bookmarkStart w:id="2" w:name="_Toc51756507"/>
      <w:bookmarkStart w:id="3" w:name="_Toc89102153"/>
      <w:bookmarkStart w:id="4" w:name="_Toc21419963"/>
      <w:r>
        <w:rPr>
          <w:rFonts w:asciiTheme="majorEastAsia" w:hAnsiTheme="majorEastAsia" w:eastAsiaTheme="majorEastAsia"/>
        </w:rPr>
        <w:t>第一章 概述</w:t>
      </w:r>
      <w:bookmarkEnd w:id="2"/>
      <w:bookmarkEnd w:id="3"/>
    </w:p>
    <w:p>
      <w:pPr>
        <w:pStyle w:val="3"/>
        <w:rPr>
          <w:rFonts w:asciiTheme="majorEastAsia" w:hAnsiTheme="majorEastAsia" w:eastAsiaTheme="majorEastAsia"/>
        </w:rPr>
      </w:pPr>
      <w:bookmarkStart w:id="5" w:name="_Toc89102154"/>
      <w:bookmarkStart w:id="6" w:name="_Toc51756508"/>
      <w:r>
        <w:rPr>
          <w:rFonts w:asciiTheme="majorEastAsia" w:hAnsiTheme="majorEastAsia" w:eastAsiaTheme="majorEastAsia"/>
        </w:rPr>
        <w:t>1.1 研究背景</w:t>
      </w:r>
      <w:bookmarkEnd w:id="5"/>
      <w:bookmarkEnd w:id="6"/>
    </w:p>
    <w:p>
      <w:pPr>
        <w:ind w:firstLine="560" w:firstLineChars="200"/>
        <w:rPr>
          <w:rFonts w:asciiTheme="majorEastAsia" w:hAnsiTheme="majorEastAsia" w:eastAsiaTheme="majorEastAsia"/>
        </w:rPr>
      </w:pPr>
      <w:r>
        <w:rPr>
          <w:rFonts w:hint="eastAsia" w:asciiTheme="majorEastAsia" w:hAnsiTheme="majorEastAsia" w:eastAsiaTheme="majorEastAsia"/>
        </w:rPr>
        <w:t>“十三五”期是六盘水市科学发展、后发赶超、与全国同步全面建成小康社会的决胜时期。在政府的正确领导下，在省交通运输厅的大力支持下，交通主管部门围绕 “1+3+3”发展体系，以加快交通行业转型升级为主线，开拓进取、创新模式，奋力推进新时代高速公路建设五年决战、国省干线建设攻坚和“组组通”公路三年大决战等，交通基础设施建设实现了新的跨越，在改善投资环境、推动产业发展、增强对外交流、保障和改善民生等方面发挥了突出重要的作用，有效支撑和促进了经济社会发展。</w:t>
      </w:r>
    </w:p>
    <w:p>
      <w:pPr>
        <w:ind w:firstLine="560" w:firstLineChars="200"/>
        <w:rPr>
          <w:rFonts w:asciiTheme="majorEastAsia" w:hAnsiTheme="majorEastAsia" w:eastAsiaTheme="majorEastAsia"/>
        </w:rPr>
      </w:pPr>
      <w:bookmarkStart w:id="7" w:name="_Hlk73956517"/>
      <w:r>
        <w:rPr>
          <w:rFonts w:hint="eastAsia" w:asciiTheme="majorEastAsia" w:hAnsiTheme="majorEastAsia" w:eastAsiaTheme="majorEastAsia"/>
        </w:rPr>
        <w:t>“十四五”期是进入新时代、开启全面建设社会主义现代化国家新征程的重要时期，是全面推进交通强国建设的第一个五年，是推动交通运输高质量发展的重要阶段。交通运输是国民经济和社会发展的基础性、先导性和服务性产业，快速便捷的交通设施对促进国土均衡开发、增强经济发展后劲、合理配置资源以及提高经济运行质量和效率具有重要的拉动和促进作用。当前，已进入“十四五”开局之年，迫切需要全面评估全市交通建设发展现状，分析存在问题和发展需求，科学谋划“十四五”期交通运输建设发展思路，确定六盘水市“十四五”交通运输建设重大项目、重点工程和重大政策。“十四五”期以构建安全、便捷、高效、绿色、经济的现代化交通运输体系为导向，在设施、技术、管理、服务等关键领域先行先试、率先突破，形成具有六盘水市特色、可推广可复制的经验和成果。</w:t>
      </w:r>
    </w:p>
    <w:bookmarkEnd w:id="7"/>
    <w:p>
      <w:pPr>
        <w:ind w:firstLine="560" w:firstLineChars="200"/>
        <w:rPr>
          <w:rFonts w:asciiTheme="majorEastAsia" w:hAnsiTheme="majorEastAsia" w:eastAsiaTheme="majorEastAsia"/>
        </w:rPr>
      </w:pPr>
      <w:r>
        <w:rPr>
          <w:rFonts w:hint="eastAsia" w:asciiTheme="majorEastAsia" w:hAnsiTheme="majorEastAsia" w:eastAsiaTheme="majorEastAsia"/>
        </w:rPr>
        <w:t>六盘水市“十四五”交通运输发展规划编制服务覆盖公路建设、养护管理、道路运输、水路运输、安全生产、应急管理、信息化建设和生态环保等方面，是指导六盘水市交通运输行业发展的战略性、纲领性、综合性规划，统领各专项规划。编制《六盘水市“十四五”交通运输发展规划》，对实现交通改革创新、转型升级，建设交通强国，更好的服务于经济高质量发展具有重要意义</w:t>
      </w:r>
      <w:r>
        <w:rPr>
          <w:rFonts w:asciiTheme="majorEastAsia" w:hAnsiTheme="majorEastAsia" w:eastAsiaTheme="majorEastAsia"/>
        </w:rPr>
        <w:t>。</w:t>
      </w:r>
    </w:p>
    <w:p>
      <w:pPr>
        <w:pStyle w:val="3"/>
        <w:rPr>
          <w:rFonts w:asciiTheme="majorEastAsia" w:hAnsiTheme="majorEastAsia" w:eastAsiaTheme="majorEastAsia"/>
        </w:rPr>
      </w:pPr>
      <w:bookmarkStart w:id="8" w:name="_Toc89102155"/>
      <w:bookmarkStart w:id="9" w:name="_Toc51756509"/>
      <w:r>
        <w:rPr>
          <w:rFonts w:asciiTheme="majorEastAsia" w:hAnsiTheme="majorEastAsia" w:eastAsiaTheme="majorEastAsia"/>
        </w:rPr>
        <w:t>1.2 研究内容与思路</w:t>
      </w:r>
      <w:bookmarkEnd w:id="8"/>
      <w:bookmarkEnd w:id="9"/>
    </w:p>
    <w:p>
      <w:pPr>
        <w:pStyle w:val="4"/>
        <w:rPr>
          <w:rFonts w:asciiTheme="majorEastAsia" w:hAnsiTheme="majorEastAsia" w:eastAsiaTheme="majorEastAsia"/>
        </w:rPr>
      </w:pPr>
      <w:bookmarkStart w:id="10" w:name="_Toc80715937"/>
      <w:bookmarkStart w:id="11" w:name="_Toc80103487"/>
      <w:bookmarkStart w:id="12" w:name="_Toc78813450"/>
      <w:bookmarkStart w:id="13" w:name="_Toc79048532"/>
      <w:bookmarkStart w:id="14" w:name="_Toc78374947"/>
      <w:bookmarkStart w:id="15" w:name="_Toc78556396"/>
      <w:bookmarkStart w:id="16" w:name="_Toc78550976"/>
      <w:bookmarkStart w:id="17" w:name="_Toc79923747"/>
      <w:bookmarkStart w:id="18" w:name="_Toc76994067"/>
      <w:bookmarkStart w:id="19" w:name="_Toc76490197"/>
      <w:bookmarkStart w:id="20" w:name="_Toc58318712"/>
      <w:bookmarkStart w:id="21" w:name="_Toc72777957"/>
      <w:bookmarkStart w:id="22" w:name="_Toc75518106"/>
      <w:bookmarkStart w:id="23" w:name="_Toc73625933"/>
      <w:bookmarkStart w:id="24" w:name="_Toc76993374"/>
      <w:bookmarkStart w:id="25" w:name="_Toc66367388"/>
      <w:bookmarkStart w:id="26" w:name="_Toc66367583"/>
      <w:bookmarkStart w:id="27" w:name="_Toc66367301"/>
      <w:bookmarkStart w:id="28" w:name="_Toc66179099"/>
      <w:bookmarkStart w:id="29" w:name="_Toc89102156"/>
      <w:bookmarkStart w:id="30" w:name="_Toc66367214"/>
      <w:bookmarkStart w:id="31" w:name="_Toc63600973"/>
      <w:bookmarkStart w:id="32" w:name="_Toc72513409"/>
      <w:bookmarkStart w:id="33" w:name="_Toc76994451"/>
      <w:bookmarkStart w:id="34" w:name="_Toc56264667"/>
      <w:bookmarkStart w:id="35" w:name="_Toc81406361"/>
      <w:bookmarkStart w:id="36" w:name="_Toc82161432"/>
      <w:r>
        <w:rPr>
          <w:rFonts w:asciiTheme="majorEastAsia" w:hAnsiTheme="majorEastAsia" w:eastAsiaTheme="majorEastAsia"/>
        </w:rPr>
        <w:t>1.2.1主要研究内容</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pPr>
        <w:ind w:firstLine="560" w:firstLineChars="200"/>
        <w:rPr>
          <w:rFonts w:asciiTheme="majorEastAsia" w:hAnsiTheme="majorEastAsia" w:eastAsiaTheme="majorEastAsia"/>
          <w:szCs w:val="28"/>
        </w:rPr>
      </w:pPr>
      <w:r>
        <w:rPr>
          <w:rFonts w:asciiTheme="majorEastAsia" w:hAnsiTheme="majorEastAsia" w:eastAsiaTheme="majorEastAsia"/>
          <w:szCs w:val="28"/>
        </w:rPr>
        <w:t>六盘水市“十四五”交通运输发展规划主要明确六盘水市“十四五”期交通运输发展的指导思想、基本原则、发展目标、主要任务和政策措施，主要包括五个方面内容：</w:t>
      </w:r>
    </w:p>
    <w:p>
      <w:pPr>
        <w:tabs>
          <w:tab w:val="left" w:pos="180"/>
        </w:tabs>
        <w:spacing w:before="60" w:after="60"/>
        <w:ind w:firstLine="562" w:firstLineChars="200"/>
        <w:rPr>
          <w:rFonts w:asciiTheme="majorEastAsia" w:hAnsiTheme="majorEastAsia" w:eastAsiaTheme="majorEastAsia"/>
          <w:szCs w:val="28"/>
        </w:rPr>
      </w:pPr>
      <w:r>
        <w:rPr>
          <w:rFonts w:asciiTheme="majorEastAsia" w:hAnsiTheme="majorEastAsia" w:eastAsiaTheme="majorEastAsia"/>
          <w:b/>
          <w:szCs w:val="28"/>
        </w:rPr>
        <w:t>1．分析</w:t>
      </w:r>
      <w:r>
        <w:rPr>
          <w:rFonts w:hint="eastAsia" w:asciiTheme="majorEastAsia" w:hAnsiTheme="majorEastAsia" w:eastAsiaTheme="majorEastAsia"/>
          <w:b/>
          <w:szCs w:val="28"/>
        </w:rPr>
        <w:t>“十三五”期贵州省六盘水市交通运输发展成就和问题</w:t>
      </w:r>
      <w:r>
        <w:rPr>
          <w:rFonts w:asciiTheme="majorEastAsia" w:hAnsiTheme="majorEastAsia" w:eastAsiaTheme="majorEastAsia"/>
          <w:b/>
          <w:szCs w:val="28"/>
        </w:rPr>
        <w:t>。</w:t>
      </w:r>
      <w:r>
        <w:rPr>
          <w:rFonts w:asciiTheme="majorEastAsia" w:hAnsiTheme="majorEastAsia" w:eastAsiaTheme="majorEastAsia"/>
          <w:szCs w:val="28"/>
        </w:rPr>
        <w:t>对“十三五”规划执行情况做出总体判断和评价，总结“十三五”规划执行的成功经验，分析</w:t>
      </w:r>
      <w:r>
        <w:rPr>
          <w:rFonts w:hint="eastAsia" w:asciiTheme="majorEastAsia" w:hAnsiTheme="majorEastAsia" w:eastAsiaTheme="majorEastAsia"/>
          <w:szCs w:val="28"/>
        </w:rPr>
        <w:t>六盘水市</w:t>
      </w:r>
      <w:r>
        <w:rPr>
          <w:rFonts w:asciiTheme="majorEastAsia" w:hAnsiTheme="majorEastAsia" w:eastAsiaTheme="majorEastAsia"/>
          <w:szCs w:val="28"/>
        </w:rPr>
        <w:t>交通运输发展存在的主要问题和薄弱环节。</w:t>
      </w:r>
    </w:p>
    <w:p>
      <w:pPr>
        <w:tabs>
          <w:tab w:val="left" w:pos="180"/>
        </w:tabs>
        <w:spacing w:before="60" w:after="60"/>
        <w:ind w:firstLine="562" w:firstLineChars="200"/>
        <w:rPr>
          <w:rFonts w:asciiTheme="majorEastAsia" w:hAnsiTheme="majorEastAsia" w:eastAsiaTheme="majorEastAsia"/>
          <w:szCs w:val="28"/>
        </w:rPr>
      </w:pPr>
      <w:r>
        <w:rPr>
          <w:rFonts w:asciiTheme="majorEastAsia" w:hAnsiTheme="majorEastAsia" w:eastAsiaTheme="majorEastAsia"/>
          <w:b/>
          <w:szCs w:val="28"/>
        </w:rPr>
        <w:t>2．分析</w:t>
      </w:r>
      <w:r>
        <w:rPr>
          <w:rFonts w:hint="eastAsia" w:asciiTheme="majorEastAsia" w:hAnsiTheme="majorEastAsia" w:eastAsiaTheme="majorEastAsia"/>
          <w:b/>
          <w:szCs w:val="28"/>
        </w:rPr>
        <w:t>“十四五”期贵州省六盘水市交通运输发展</w:t>
      </w:r>
      <w:r>
        <w:rPr>
          <w:rFonts w:asciiTheme="majorEastAsia" w:hAnsiTheme="majorEastAsia" w:eastAsiaTheme="majorEastAsia"/>
          <w:b/>
          <w:szCs w:val="28"/>
        </w:rPr>
        <w:t>形势和环境。</w:t>
      </w:r>
      <w:r>
        <w:rPr>
          <w:rFonts w:asciiTheme="majorEastAsia" w:hAnsiTheme="majorEastAsia" w:eastAsiaTheme="majorEastAsia"/>
          <w:szCs w:val="28"/>
        </w:rPr>
        <w:t>从“十四五”期国家、贵州省宏观经济走势及</w:t>
      </w:r>
      <w:r>
        <w:rPr>
          <w:rFonts w:hint="eastAsia" w:asciiTheme="majorEastAsia" w:hAnsiTheme="majorEastAsia" w:eastAsiaTheme="majorEastAsia"/>
          <w:szCs w:val="28"/>
        </w:rPr>
        <w:t>六盘水市</w:t>
      </w:r>
      <w:r>
        <w:rPr>
          <w:rFonts w:asciiTheme="majorEastAsia" w:hAnsiTheme="majorEastAsia" w:eastAsiaTheme="majorEastAsia"/>
          <w:szCs w:val="28"/>
        </w:rPr>
        <w:t>经济社会发展趋向着手，分析外部环境对</w:t>
      </w:r>
      <w:r>
        <w:rPr>
          <w:rFonts w:hint="eastAsia" w:asciiTheme="majorEastAsia" w:hAnsiTheme="majorEastAsia" w:eastAsiaTheme="majorEastAsia"/>
          <w:szCs w:val="28"/>
        </w:rPr>
        <w:t>六盘水市</w:t>
      </w:r>
      <w:r>
        <w:rPr>
          <w:rFonts w:asciiTheme="majorEastAsia" w:hAnsiTheme="majorEastAsia" w:eastAsiaTheme="majorEastAsia"/>
          <w:szCs w:val="28"/>
        </w:rPr>
        <w:t>交通</w:t>
      </w:r>
      <w:r>
        <w:rPr>
          <w:rFonts w:hint="eastAsia" w:asciiTheme="majorEastAsia" w:hAnsiTheme="majorEastAsia" w:eastAsiaTheme="majorEastAsia"/>
          <w:szCs w:val="28"/>
        </w:rPr>
        <w:t>运输</w:t>
      </w:r>
      <w:r>
        <w:rPr>
          <w:rFonts w:asciiTheme="majorEastAsia" w:hAnsiTheme="majorEastAsia" w:eastAsiaTheme="majorEastAsia"/>
          <w:szCs w:val="28"/>
        </w:rPr>
        <w:t>发展的影响，准确把握“十四五”期</w:t>
      </w:r>
      <w:r>
        <w:rPr>
          <w:rFonts w:hint="eastAsia" w:asciiTheme="majorEastAsia" w:hAnsiTheme="majorEastAsia" w:eastAsiaTheme="majorEastAsia"/>
          <w:szCs w:val="28"/>
        </w:rPr>
        <w:t>六盘水市</w:t>
      </w:r>
      <w:r>
        <w:rPr>
          <w:rFonts w:asciiTheme="majorEastAsia" w:hAnsiTheme="majorEastAsia" w:eastAsiaTheme="majorEastAsia"/>
          <w:szCs w:val="28"/>
        </w:rPr>
        <w:t>交通</w:t>
      </w:r>
      <w:r>
        <w:rPr>
          <w:rFonts w:hint="eastAsia" w:asciiTheme="majorEastAsia" w:hAnsiTheme="majorEastAsia" w:eastAsiaTheme="majorEastAsia"/>
          <w:szCs w:val="28"/>
        </w:rPr>
        <w:t>运输发展</w:t>
      </w:r>
      <w:r>
        <w:rPr>
          <w:rFonts w:asciiTheme="majorEastAsia" w:hAnsiTheme="majorEastAsia" w:eastAsiaTheme="majorEastAsia"/>
          <w:szCs w:val="28"/>
        </w:rPr>
        <w:t>面临的新形势和新要求。在此基础上，对“十四五”期</w:t>
      </w:r>
      <w:r>
        <w:rPr>
          <w:rFonts w:hint="eastAsia" w:asciiTheme="majorEastAsia" w:hAnsiTheme="majorEastAsia" w:eastAsiaTheme="majorEastAsia"/>
          <w:szCs w:val="28"/>
        </w:rPr>
        <w:t>六盘水市</w:t>
      </w:r>
      <w:r>
        <w:rPr>
          <w:rFonts w:asciiTheme="majorEastAsia" w:hAnsiTheme="majorEastAsia" w:eastAsiaTheme="majorEastAsia"/>
          <w:szCs w:val="28"/>
        </w:rPr>
        <w:t>交通</w:t>
      </w:r>
      <w:r>
        <w:rPr>
          <w:rFonts w:hint="eastAsia" w:asciiTheme="majorEastAsia" w:hAnsiTheme="majorEastAsia" w:eastAsiaTheme="majorEastAsia"/>
          <w:szCs w:val="28"/>
        </w:rPr>
        <w:t>运输发展</w:t>
      </w:r>
      <w:r>
        <w:rPr>
          <w:rFonts w:asciiTheme="majorEastAsia" w:hAnsiTheme="majorEastAsia" w:eastAsiaTheme="majorEastAsia"/>
          <w:szCs w:val="28"/>
        </w:rPr>
        <w:t>的阶段性特征进行分析。</w:t>
      </w:r>
    </w:p>
    <w:p>
      <w:pPr>
        <w:tabs>
          <w:tab w:val="left" w:pos="180"/>
        </w:tabs>
        <w:spacing w:before="60" w:after="60"/>
        <w:ind w:firstLine="562" w:firstLineChars="200"/>
        <w:rPr>
          <w:rFonts w:asciiTheme="majorEastAsia" w:hAnsiTheme="majorEastAsia" w:eastAsiaTheme="majorEastAsia"/>
          <w:b/>
          <w:szCs w:val="28"/>
        </w:rPr>
      </w:pPr>
      <w:r>
        <w:rPr>
          <w:rFonts w:asciiTheme="majorEastAsia" w:hAnsiTheme="majorEastAsia" w:eastAsiaTheme="majorEastAsia"/>
          <w:b/>
          <w:szCs w:val="28"/>
        </w:rPr>
        <w:t>3．研究提出</w:t>
      </w:r>
      <w:r>
        <w:rPr>
          <w:rFonts w:hint="eastAsia" w:asciiTheme="majorEastAsia" w:hAnsiTheme="majorEastAsia" w:eastAsiaTheme="majorEastAsia"/>
          <w:b/>
          <w:szCs w:val="28"/>
        </w:rPr>
        <w:t>“十四五”期贵州省六盘水市交通运输发展的思路和目标</w:t>
      </w:r>
      <w:r>
        <w:rPr>
          <w:rFonts w:asciiTheme="majorEastAsia" w:hAnsiTheme="majorEastAsia" w:eastAsiaTheme="majorEastAsia"/>
          <w:b/>
          <w:szCs w:val="28"/>
        </w:rPr>
        <w:t>。</w:t>
      </w:r>
      <w:r>
        <w:rPr>
          <w:rFonts w:asciiTheme="majorEastAsia" w:hAnsiTheme="majorEastAsia" w:eastAsiaTheme="majorEastAsia"/>
          <w:szCs w:val="28"/>
        </w:rPr>
        <w:t>根据国家、贵州省及</w:t>
      </w:r>
      <w:r>
        <w:rPr>
          <w:rFonts w:hint="eastAsia" w:asciiTheme="majorEastAsia" w:hAnsiTheme="majorEastAsia" w:eastAsiaTheme="majorEastAsia"/>
          <w:szCs w:val="28"/>
        </w:rPr>
        <w:t>六盘水市</w:t>
      </w:r>
      <w:r>
        <w:rPr>
          <w:rFonts w:asciiTheme="majorEastAsia" w:hAnsiTheme="majorEastAsia" w:eastAsiaTheme="majorEastAsia"/>
          <w:szCs w:val="28"/>
        </w:rPr>
        <w:t>发展战略和趋势要求，研究提出</w:t>
      </w:r>
      <w:r>
        <w:rPr>
          <w:rFonts w:hint="eastAsia" w:asciiTheme="majorEastAsia" w:hAnsiTheme="majorEastAsia" w:eastAsiaTheme="majorEastAsia"/>
          <w:szCs w:val="28"/>
        </w:rPr>
        <w:t>六盘水市</w:t>
      </w:r>
      <w:r>
        <w:rPr>
          <w:rFonts w:asciiTheme="majorEastAsia" w:hAnsiTheme="majorEastAsia" w:eastAsiaTheme="majorEastAsia"/>
          <w:szCs w:val="28"/>
        </w:rPr>
        <w:t>“十四五”期交通运输发展的指导思想和基本原则，以及“十四五”期</w:t>
      </w:r>
      <w:r>
        <w:rPr>
          <w:rFonts w:hint="eastAsia" w:asciiTheme="majorEastAsia" w:hAnsiTheme="majorEastAsia" w:eastAsiaTheme="majorEastAsia"/>
          <w:szCs w:val="28"/>
        </w:rPr>
        <w:t>六盘水市交通运输</w:t>
      </w:r>
      <w:r>
        <w:rPr>
          <w:rFonts w:asciiTheme="majorEastAsia" w:hAnsiTheme="majorEastAsia" w:eastAsiaTheme="majorEastAsia"/>
          <w:szCs w:val="28"/>
        </w:rPr>
        <w:t>的发展目标。</w:t>
      </w:r>
    </w:p>
    <w:p>
      <w:pPr>
        <w:tabs>
          <w:tab w:val="left" w:pos="180"/>
        </w:tabs>
        <w:spacing w:before="60" w:after="60"/>
        <w:ind w:firstLine="562" w:firstLineChars="200"/>
        <w:rPr>
          <w:rFonts w:asciiTheme="majorEastAsia" w:hAnsiTheme="majorEastAsia" w:eastAsiaTheme="majorEastAsia"/>
          <w:szCs w:val="28"/>
        </w:rPr>
      </w:pPr>
      <w:r>
        <w:rPr>
          <w:rFonts w:asciiTheme="majorEastAsia" w:hAnsiTheme="majorEastAsia" w:eastAsiaTheme="majorEastAsia"/>
          <w:b/>
          <w:szCs w:val="28"/>
        </w:rPr>
        <w:t>4．研究提出“十四五”期</w:t>
      </w:r>
      <w:r>
        <w:rPr>
          <w:rFonts w:hint="eastAsia" w:asciiTheme="majorEastAsia" w:hAnsiTheme="majorEastAsia" w:eastAsiaTheme="majorEastAsia"/>
          <w:b/>
          <w:szCs w:val="28"/>
        </w:rPr>
        <w:t>贵州省六盘水市交通运输发展的重点任务</w:t>
      </w:r>
      <w:r>
        <w:rPr>
          <w:rFonts w:asciiTheme="majorEastAsia" w:hAnsiTheme="majorEastAsia" w:eastAsiaTheme="majorEastAsia"/>
          <w:b/>
          <w:szCs w:val="28"/>
        </w:rPr>
        <w:t>。</w:t>
      </w:r>
      <w:r>
        <w:rPr>
          <w:rFonts w:asciiTheme="majorEastAsia" w:hAnsiTheme="majorEastAsia" w:eastAsiaTheme="majorEastAsia"/>
          <w:szCs w:val="28"/>
        </w:rPr>
        <w:t>围绕规划目标，研究提出“十四五”期</w:t>
      </w:r>
      <w:r>
        <w:rPr>
          <w:rFonts w:hint="eastAsia" w:asciiTheme="majorEastAsia" w:hAnsiTheme="majorEastAsia" w:eastAsiaTheme="majorEastAsia"/>
          <w:szCs w:val="28"/>
        </w:rPr>
        <w:t>六盘水市</w:t>
      </w:r>
      <w:r>
        <w:rPr>
          <w:rFonts w:asciiTheme="majorEastAsia" w:hAnsiTheme="majorEastAsia" w:eastAsiaTheme="majorEastAsia"/>
          <w:szCs w:val="28"/>
        </w:rPr>
        <w:t>交通</w:t>
      </w:r>
      <w:r>
        <w:rPr>
          <w:rFonts w:hint="eastAsia" w:asciiTheme="majorEastAsia" w:hAnsiTheme="majorEastAsia" w:eastAsiaTheme="majorEastAsia"/>
          <w:szCs w:val="28"/>
        </w:rPr>
        <w:t>运输发展</w:t>
      </w:r>
      <w:r>
        <w:rPr>
          <w:rFonts w:asciiTheme="majorEastAsia" w:hAnsiTheme="majorEastAsia" w:eastAsiaTheme="majorEastAsia"/>
          <w:szCs w:val="28"/>
        </w:rPr>
        <w:t>的重点任务</w:t>
      </w:r>
      <w:r>
        <w:rPr>
          <w:rFonts w:hint="eastAsia" w:asciiTheme="majorEastAsia" w:hAnsiTheme="majorEastAsia" w:eastAsiaTheme="majorEastAsia"/>
          <w:szCs w:val="28"/>
        </w:rPr>
        <w:t>、政策措施、谋划重点项目，</w:t>
      </w:r>
      <w:r>
        <w:rPr>
          <w:rFonts w:asciiTheme="majorEastAsia" w:hAnsiTheme="majorEastAsia" w:eastAsiaTheme="majorEastAsia"/>
          <w:szCs w:val="28"/>
        </w:rPr>
        <w:t>并明确建设项目。</w:t>
      </w:r>
    </w:p>
    <w:p>
      <w:pPr>
        <w:pStyle w:val="10"/>
        <w:spacing w:before="60" w:after="60"/>
        <w:ind w:firstLine="562" w:firstLineChars="200"/>
        <w:rPr>
          <w:rFonts w:cs="Times New Roman" w:asciiTheme="majorEastAsia" w:hAnsiTheme="majorEastAsia" w:eastAsiaTheme="majorEastAsia"/>
          <w:sz w:val="28"/>
          <w:szCs w:val="28"/>
        </w:rPr>
      </w:pPr>
      <w:r>
        <w:rPr>
          <w:rFonts w:cs="Times New Roman" w:asciiTheme="majorEastAsia" w:hAnsiTheme="majorEastAsia" w:eastAsiaTheme="majorEastAsia"/>
          <w:b/>
          <w:sz w:val="28"/>
          <w:szCs w:val="28"/>
        </w:rPr>
        <w:t>5．</w:t>
      </w:r>
      <w:r>
        <w:rPr>
          <w:rFonts w:hint="eastAsia" w:cs="Times New Roman" w:asciiTheme="majorEastAsia" w:hAnsiTheme="majorEastAsia" w:eastAsiaTheme="majorEastAsia"/>
          <w:b/>
          <w:sz w:val="28"/>
          <w:szCs w:val="28"/>
        </w:rPr>
        <w:t>研究提出“十四五”期贵州省六盘水市交通运输发展规划切实、有效指导性意见及方案</w:t>
      </w:r>
      <w:r>
        <w:rPr>
          <w:rFonts w:cs="Times New Roman" w:asciiTheme="majorEastAsia" w:hAnsiTheme="majorEastAsia" w:eastAsiaTheme="majorEastAsia"/>
          <w:b/>
          <w:sz w:val="28"/>
          <w:szCs w:val="28"/>
        </w:rPr>
        <w:t>。</w:t>
      </w:r>
      <w:r>
        <w:rPr>
          <w:rFonts w:cs="Times New Roman" w:asciiTheme="majorEastAsia" w:hAnsiTheme="majorEastAsia" w:eastAsiaTheme="majorEastAsia"/>
          <w:sz w:val="28"/>
          <w:szCs w:val="28"/>
        </w:rPr>
        <w:t>根据规划目标和建设项目，匡算“十四五”期交通建设资金需求，并对资金筹措方案进行分析。研究提出保障规划顺利实施的相关措施建议。</w:t>
      </w:r>
    </w:p>
    <w:p>
      <w:pPr>
        <w:pStyle w:val="4"/>
        <w:rPr>
          <w:rFonts w:asciiTheme="majorEastAsia" w:hAnsiTheme="majorEastAsia" w:eastAsiaTheme="majorEastAsia"/>
        </w:rPr>
      </w:pPr>
      <w:bookmarkStart w:id="37" w:name="_Toc89102157"/>
      <w:bookmarkStart w:id="38" w:name="_Toc63600974"/>
      <w:bookmarkStart w:id="39" w:name="_Toc81406362"/>
      <w:bookmarkStart w:id="40" w:name="_Toc82161433"/>
      <w:bookmarkStart w:id="41" w:name="_Toc66367584"/>
      <w:bookmarkStart w:id="42" w:name="_Toc80103488"/>
      <w:bookmarkStart w:id="43" w:name="_Toc66367302"/>
      <w:bookmarkStart w:id="44" w:name="_Toc76993375"/>
      <w:bookmarkStart w:id="45" w:name="_Toc75518107"/>
      <w:bookmarkStart w:id="46" w:name="_Toc79048533"/>
      <w:bookmarkStart w:id="47" w:name="_Toc76490198"/>
      <w:bookmarkStart w:id="48" w:name="_Toc72777958"/>
      <w:bookmarkStart w:id="49" w:name="_Toc79923748"/>
      <w:bookmarkStart w:id="50" w:name="_Toc78813451"/>
      <w:bookmarkStart w:id="51" w:name="_Toc76994452"/>
      <w:bookmarkStart w:id="52" w:name="_Toc78374948"/>
      <w:bookmarkStart w:id="53" w:name="_Toc78556397"/>
      <w:bookmarkStart w:id="54" w:name="_Toc78550977"/>
      <w:bookmarkStart w:id="55" w:name="_Toc76994068"/>
      <w:bookmarkStart w:id="56" w:name="_Toc72513410"/>
      <w:bookmarkStart w:id="57" w:name="_Toc66367215"/>
      <w:bookmarkStart w:id="58" w:name="_Toc66367389"/>
      <w:bookmarkStart w:id="59" w:name="_Toc58318713"/>
      <w:bookmarkStart w:id="60" w:name="_Toc66179100"/>
      <w:bookmarkStart w:id="61" w:name="_Toc56264668"/>
      <w:bookmarkStart w:id="62" w:name="_Toc73625934"/>
      <w:bookmarkStart w:id="63" w:name="_Toc80715938"/>
      <w:r>
        <w:rPr>
          <w:rFonts w:asciiTheme="majorEastAsia" w:hAnsiTheme="majorEastAsia" w:eastAsiaTheme="majorEastAsia"/>
        </w:rPr>
        <w:t>1.2.2技术路线</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pPr>
        <w:tabs>
          <w:tab w:val="left" w:pos="180"/>
        </w:tabs>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六盘水市“十四五”交通运输发展规划应把握好以下四个方面的思路要点：</w:t>
      </w:r>
    </w:p>
    <w:p>
      <w:pPr>
        <w:tabs>
          <w:tab w:val="left" w:pos="180"/>
        </w:tabs>
        <w:ind w:firstLine="562" w:firstLineChars="200"/>
        <w:rPr>
          <w:rFonts w:asciiTheme="majorEastAsia" w:hAnsiTheme="majorEastAsia" w:eastAsiaTheme="majorEastAsia"/>
          <w:b/>
          <w:szCs w:val="28"/>
        </w:rPr>
      </w:pPr>
      <w:r>
        <w:rPr>
          <w:rFonts w:hint="eastAsia" w:asciiTheme="majorEastAsia" w:hAnsiTheme="majorEastAsia" w:eastAsiaTheme="majorEastAsia"/>
          <w:b/>
          <w:szCs w:val="28"/>
        </w:rPr>
        <w:t>一是紧扣主题 ，服务大局。</w:t>
      </w:r>
    </w:p>
    <w:p>
      <w:pPr>
        <w:tabs>
          <w:tab w:val="left" w:pos="180"/>
        </w:tabs>
        <w:ind w:firstLine="562" w:firstLineChars="200"/>
        <w:rPr>
          <w:rFonts w:asciiTheme="majorEastAsia" w:hAnsiTheme="majorEastAsia" w:eastAsiaTheme="majorEastAsia"/>
          <w:b/>
          <w:szCs w:val="28"/>
        </w:rPr>
      </w:pPr>
      <w:r>
        <w:rPr>
          <w:rFonts w:hint="eastAsia" w:asciiTheme="majorEastAsia" w:hAnsiTheme="majorEastAsia" w:eastAsiaTheme="majorEastAsia"/>
          <w:b/>
          <w:szCs w:val="28"/>
        </w:rPr>
        <w:t>二是问题导向 ，契合需求。</w:t>
      </w:r>
    </w:p>
    <w:p>
      <w:pPr>
        <w:tabs>
          <w:tab w:val="left" w:pos="180"/>
        </w:tabs>
        <w:ind w:firstLine="562" w:firstLineChars="200"/>
        <w:rPr>
          <w:rFonts w:asciiTheme="majorEastAsia" w:hAnsiTheme="majorEastAsia" w:eastAsiaTheme="majorEastAsia"/>
          <w:b/>
          <w:szCs w:val="28"/>
        </w:rPr>
      </w:pPr>
      <w:r>
        <w:rPr>
          <w:rFonts w:hint="eastAsia" w:asciiTheme="majorEastAsia" w:hAnsiTheme="majorEastAsia" w:eastAsiaTheme="majorEastAsia"/>
          <w:b/>
          <w:szCs w:val="28"/>
        </w:rPr>
        <w:t>三是用好政策 ，化解风险。</w:t>
      </w:r>
    </w:p>
    <w:p>
      <w:pPr>
        <w:tabs>
          <w:tab w:val="left" w:pos="180"/>
        </w:tabs>
        <w:ind w:firstLine="562" w:firstLineChars="200"/>
        <w:rPr>
          <w:rFonts w:asciiTheme="majorEastAsia" w:hAnsiTheme="majorEastAsia" w:eastAsiaTheme="majorEastAsia"/>
          <w:b/>
          <w:szCs w:val="28"/>
        </w:rPr>
      </w:pPr>
      <w:r>
        <w:rPr>
          <w:rFonts w:hint="eastAsia" w:asciiTheme="majorEastAsia" w:hAnsiTheme="majorEastAsia" w:eastAsiaTheme="majorEastAsia"/>
          <w:b/>
          <w:szCs w:val="28"/>
        </w:rPr>
        <w:t>四是试点引领 ，突出亮点。</w:t>
      </w:r>
    </w:p>
    <w:p>
      <w:pPr>
        <w:tabs>
          <w:tab w:val="left" w:pos="180"/>
        </w:tabs>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规划研究中，首先通过分析交通基础设施建设发展现状，总结六盘水市“十三五”期交通建设发展成就，找出存在的主要问题和薄弱环节；在分析“十四五”期交通运输发展面临机遇和挑战的基础上，研究提出“十四五”期交通建设发展的特征、目标、重点任务、政策措施，谋划重点项目；最后研究提出保障目标实现的有效数据、政策措施建议及指导性方案</w:t>
      </w:r>
      <w:r>
        <w:rPr>
          <w:rFonts w:asciiTheme="majorEastAsia" w:hAnsiTheme="majorEastAsia" w:eastAsiaTheme="majorEastAsia"/>
          <w:szCs w:val="28"/>
        </w:rPr>
        <w:t>。研究的技术路线见图</w:t>
      </w:r>
      <w:r>
        <w:rPr>
          <w:rFonts w:asciiTheme="majorEastAsia" w:hAnsiTheme="majorEastAsia" w:eastAsiaTheme="majorEastAsia"/>
          <w:b/>
          <w:bCs/>
          <w:szCs w:val="28"/>
        </w:rPr>
        <w:t>1-1</w:t>
      </w:r>
      <w:r>
        <w:rPr>
          <w:rFonts w:asciiTheme="majorEastAsia" w:hAnsiTheme="majorEastAsia" w:eastAsiaTheme="majorEastAsia"/>
          <w:szCs w:val="28"/>
        </w:rPr>
        <w:t>。</w:t>
      </w:r>
    </w:p>
    <w:p>
      <w:pPr>
        <w:tabs>
          <w:tab w:val="left" w:pos="180"/>
        </w:tabs>
        <w:rPr>
          <w:rFonts w:asciiTheme="majorEastAsia" w:hAnsiTheme="majorEastAsia" w:eastAsiaTheme="majorEastAsia"/>
          <w:szCs w:val="28"/>
        </w:rPr>
      </w:pPr>
      <w:r>
        <w:rPr>
          <w:rFonts w:asciiTheme="majorEastAsia" w:hAnsiTheme="majorEastAsia" w:eastAsiaTheme="majorEastAsia"/>
          <w:sz w:val="21"/>
          <w:szCs w:val="22"/>
        </w:rPr>
        <mc:AlternateContent>
          <mc:Choice Requires="wpg">
            <w:drawing>
              <wp:inline distT="0" distB="0" distL="0" distR="0">
                <wp:extent cx="4935855" cy="5727700"/>
                <wp:effectExtent l="0" t="0" r="17145" b="6350"/>
                <wp:docPr id="1" name="组合 1"/>
                <wp:cNvGraphicFramePr/>
                <a:graphic xmlns:a="http://schemas.openxmlformats.org/drawingml/2006/main">
                  <a:graphicData uri="http://schemas.microsoft.com/office/word/2010/wordprocessingGroup">
                    <wpg:wgp>
                      <wpg:cNvGrpSpPr/>
                      <wpg:grpSpPr>
                        <a:xfrm>
                          <a:off x="0" y="0"/>
                          <a:ext cx="4935855" cy="5727700"/>
                          <a:chOff x="0" y="0"/>
                          <a:chExt cx="8118" cy="9745"/>
                        </a:xfrm>
                      </wpg:grpSpPr>
                      <wps:wsp>
                        <wps:cNvPr id="41" name="Rectangle 3"/>
                        <wps:cNvSpPr>
                          <a:spLocks noChangeArrowheads="1"/>
                        </wps:cNvSpPr>
                        <wps:spPr bwMode="auto">
                          <a:xfrm>
                            <a:off x="0" y="0"/>
                            <a:ext cx="8118" cy="9745"/>
                          </a:xfrm>
                          <a:prstGeom prst="rect">
                            <a:avLst/>
                          </a:prstGeom>
                          <a:noFill/>
                          <a:ln>
                            <a:noFill/>
                          </a:ln>
                        </wps:spPr>
                        <wps:bodyPr rot="0" vert="horz" wrap="square" lIns="91440" tIns="45720" rIns="91440" bIns="45720" anchor="t" anchorCtr="0" upright="1">
                          <a:noAutofit/>
                        </wps:bodyPr>
                      </wps:wsp>
                      <wps:wsp>
                        <wps:cNvPr id="42" name="Rectangle 4"/>
                        <wps:cNvSpPr>
                          <a:spLocks noChangeArrowheads="1"/>
                        </wps:cNvSpPr>
                        <wps:spPr bwMode="auto">
                          <a:xfrm>
                            <a:off x="2356" y="5502"/>
                            <a:ext cx="5760" cy="1680"/>
                          </a:xfrm>
                          <a:prstGeom prst="rect">
                            <a:avLst/>
                          </a:prstGeom>
                          <a:noFill/>
                          <a:ln w="12700" cap="rnd">
                            <a:solidFill>
                              <a:srgbClr val="000000"/>
                            </a:solidFill>
                            <a:prstDash val="sysDot"/>
                            <a:miter lim="200000"/>
                          </a:ln>
                        </wps:spPr>
                        <wps:bodyPr rot="0" vert="horz" wrap="square" lIns="91440" tIns="45720" rIns="91440" bIns="45720" anchor="t" anchorCtr="0" upright="1">
                          <a:noAutofit/>
                        </wps:bodyPr>
                      </wps:wsp>
                      <wps:wsp>
                        <wps:cNvPr id="43" name="Rectangle 5"/>
                        <wps:cNvSpPr>
                          <a:spLocks noChangeArrowheads="1"/>
                        </wps:cNvSpPr>
                        <wps:spPr bwMode="auto">
                          <a:xfrm>
                            <a:off x="2356" y="2910"/>
                            <a:ext cx="5760" cy="2028"/>
                          </a:xfrm>
                          <a:prstGeom prst="rect">
                            <a:avLst/>
                          </a:prstGeom>
                          <a:noFill/>
                          <a:ln w="12700" cap="rnd">
                            <a:solidFill>
                              <a:srgbClr val="000000"/>
                            </a:solidFill>
                            <a:prstDash val="sysDot"/>
                            <a:miter lim="200000"/>
                          </a:ln>
                        </wps:spPr>
                        <wps:bodyPr rot="0" vert="horz" wrap="square" lIns="91440" tIns="45720" rIns="91440" bIns="45720" anchor="t" anchorCtr="0" upright="1">
                          <a:noAutofit/>
                        </wps:bodyPr>
                      </wps:wsp>
                      <wps:wsp>
                        <wps:cNvPr id="44" name="Rectangle 6"/>
                        <wps:cNvSpPr>
                          <a:spLocks noChangeArrowheads="1"/>
                        </wps:cNvSpPr>
                        <wps:spPr bwMode="auto">
                          <a:xfrm>
                            <a:off x="2356" y="392"/>
                            <a:ext cx="5760" cy="2038"/>
                          </a:xfrm>
                          <a:prstGeom prst="rect">
                            <a:avLst/>
                          </a:prstGeom>
                          <a:noFill/>
                          <a:ln w="12700" cap="rnd">
                            <a:solidFill>
                              <a:srgbClr val="000000"/>
                            </a:solidFill>
                            <a:prstDash val="sysDot"/>
                            <a:miter lim="200000"/>
                          </a:ln>
                        </wps:spPr>
                        <wps:bodyPr rot="0" vert="horz" wrap="square" lIns="91440" tIns="45720" rIns="91440" bIns="45720" anchor="t" anchorCtr="0" upright="1">
                          <a:noAutofit/>
                        </wps:bodyPr>
                      </wps:wsp>
                      <wps:wsp>
                        <wps:cNvPr id="45" name="AutoShape 7"/>
                        <wps:cNvSpPr>
                          <a:spLocks noChangeArrowheads="1"/>
                        </wps:cNvSpPr>
                        <wps:spPr bwMode="auto">
                          <a:xfrm>
                            <a:off x="2964" y="8126"/>
                            <a:ext cx="4636" cy="493"/>
                          </a:xfrm>
                          <a:prstGeom prst="roundRect">
                            <a:avLst>
                              <a:gd name="adj" fmla="val 16667"/>
                            </a:avLst>
                          </a:prstGeom>
                          <a:solidFill>
                            <a:srgbClr val="DDDDDD"/>
                          </a:solidFill>
                          <a:ln>
                            <a:noFill/>
                          </a:ln>
                          <a:effectLst>
                            <a:outerShdw dist="35920" dir="2700000" algn="ctr" rotWithShape="0">
                              <a:srgbClr val="808080"/>
                            </a:outerShdw>
                          </a:effectLst>
                        </wps:spPr>
                        <wps:txbx>
                          <w:txbxContent>
                            <w:p>
                              <w:pPr>
                                <w:spacing w:line="240" w:lineRule="auto"/>
                                <w:jc w:val="center"/>
                                <w:rPr>
                                  <w:rFonts w:ascii="黑体" w:eastAsia="黑体"/>
                                  <w:sz w:val="21"/>
                                  <w:szCs w:val="21"/>
                                </w:rPr>
                              </w:pPr>
                              <w:r>
                                <w:rPr>
                                  <w:rFonts w:hint="eastAsia" w:ascii="黑体" w:eastAsia="黑体"/>
                                  <w:sz w:val="21"/>
                                  <w:szCs w:val="21"/>
                                </w:rPr>
                                <w:t>保障规划实施的政策措施</w:t>
                              </w:r>
                            </w:p>
                          </w:txbxContent>
                        </wps:txbx>
                        <wps:bodyPr rot="0" vert="horz" wrap="square" lIns="91440" tIns="45720" rIns="91440" bIns="45720" anchor="t" anchorCtr="0" upright="1">
                          <a:noAutofit/>
                        </wps:bodyPr>
                      </wps:wsp>
                      <wps:wsp>
                        <wps:cNvPr id="46" name="AutoShape 8"/>
                        <wps:cNvSpPr>
                          <a:spLocks noChangeArrowheads="1"/>
                        </wps:cNvSpPr>
                        <wps:spPr bwMode="auto">
                          <a:xfrm>
                            <a:off x="5103" y="2446"/>
                            <a:ext cx="540" cy="468"/>
                          </a:xfrm>
                          <a:prstGeom prst="downArrow">
                            <a:avLst>
                              <a:gd name="adj1" fmla="val 50000"/>
                              <a:gd name="adj2" fmla="val 25000"/>
                            </a:avLst>
                          </a:prstGeom>
                          <a:solidFill>
                            <a:srgbClr val="FFFFFF"/>
                          </a:solidFill>
                          <a:ln w="9525">
                            <a:solidFill>
                              <a:srgbClr val="000000"/>
                            </a:solidFill>
                            <a:miter lim="200000"/>
                          </a:ln>
                        </wps:spPr>
                        <wps:bodyPr rot="0" vert="eaVert" wrap="square" lIns="91440" tIns="45720" rIns="91440" bIns="45720" anchor="t" anchorCtr="0" upright="1">
                          <a:noAutofit/>
                        </wps:bodyPr>
                      </wps:wsp>
                      <wps:wsp>
                        <wps:cNvPr id="47" name="AutoShape 9"/>
                        <wps:cNvSpPr>
                          <a:spLocks noChangeArrowheads="1"/>
                        </wps:cNvSpPr>
                        <wps:spPr bwMode="auto">
                          <a:xfrm>
                            <a:off x="5046" y="5002"/>
                            <a:ext cx="540" cy="468"/>
                          </a:xfrm>
                          <a:prstGeom prst="downArrow">
                            <a:avLst>
                              <a:gd name="adj1" fmla="val 50000"/>
                              <a:gd name="adj2" fmla="val 25000"/>
                            </a:avLst>
                          </a:prstGeom>
                          <a:solidFill>
                            <a:srgbClr val="FFFFFF"/>
                          </a:solidFill>
                          <a:ln w="9525">
                            <a:solidFill>
                              <a:srgbClr val="000000"/>
                            </a:solidFill>
                            <a:miter lim="200000"/>
                          </a:ln>
                        </wps:spPr>
                        <wps:bodyPr rot="0" vert="eaVert" wrap="square" lIns="91440" tIns="45720" rIns="91440" bIns="45720" anchor="t" anchorCtr="0" upright="1">
                          <a:noAutofit/>
                        </wps:bodyPr>
                      </wps:wsp>
                      <wps:wsp>
                        <wps:cNvPr id="48" name="AutoShape 10"/>
                        <wps:cNvSpPr>
                          <a:spLocks noChangeArrowheads="1"/>
                        </wps:cNvSpPr>
                        <wps:spPr bwMode="auto">
                          <a:xfrm>
                            <a:off x="0" y="5582"/>
                            <a:ext cx="2340" cy="1404"/>
                          </a:xfrm>
                          <a:prstGeom prst="rightArrow">
                            <a:avLst>
                              <a:gd name="adj1" fmla="val 50000"/>
                              <a:gd name="adj2" fmla="val 41667"/>
                            </a:avLst>
                          </a:prstGeom>
                          <a:solidFill>
                            <a:srgbClr val="FFFFFF"/>
                          </a:solidFill>
                          <a:ln w="9525">
                            <a:solidFill>
                              <a:srgbClr val="000000"/>
                            </a:solidFill>
                            <a:prstDash val="lgDash"/>
                            <a:miter lim="200000"/>
                          </a:ln>
                        </wps:spPr>
                        <wps:txbx>
                          <w:txbxContent>
                            <w:p>
                              <w:pPr>
                                <w:jc w:val="center"/>
                                <w:rPr>
                                  <w:rFonts w:ascii="黑体" w:eastAsia="黑体"/>
                                  <w:b/>
                                  <w:szCs w:val="28"/>
                                </w:rPr>
                              </w:pPr>
                              <w:r>
                                <w:rPr>
                                  <w:rFonts w:hint="eastAsia" w:ascii="黑体" w:eastAsia="黑体"/>
                                  <w:b/>
                                  <w:szCs w:val="28"/>
                                </w:rPr>
                                <w:t>规划方案</w:t>
                              </w:r>
                            </w:p>
                          </w:txbxContent>
                        </wps:txbx>
                        <wps:bodyPr rot="0" vert="horz" wrap="square" lIns="91440" tIns="45720" rIns="91440" bIns="45720" anchor="t" anchorCtr="0" upright="1">
                          <a:noAutofit/>
                        </wps:bodyPr>
                      </wps:wsp>
                      <wps:wsp>
                        <wps:cNvPr id="49" name="AutoShape 11"/>
                        <wps:cNvSpPr>
                          <a:spLocks noChangeArrowheads="1"/>
                        </wps:cNvSpPr>
                        <wps:spPr bwMode="auto">
                          <a:xfrm>
                            <a:off x="0" y="3294"/>
                            <a:ext cx="2340" cy="1404"/>
                          </a:xfrm>
                          <a:prstGeom prst="rightArrow">
                            <a:avLst>
                              <a:gd name="adj1" fmla="val 50000"/>
                              <a:gd name="adj2" fmla="val 41667"/>
                            </a:avLst>
                          </a:prstGeom>
                          <a:solidFill>
                            <a:srgbClr val="FFFFFF"/>
                          </a:solidFill>
                          <a:ln w="9525">
                            <a:solidFill>
                              <a:srgbClr val="000000"/>
                            </a:solidFill>
                            <a:prstDash val="lgDash"/>
                            <a:miter lim="200000"/>
                          </a:ln>
                        </wps:spPr>
                        <wps:txbx>
                          <w:txbxContent>
                            <w:p>
                              <w:pPr>
                                <w:jc w:val="center"/>
                                <w:rPr>
                                  <w:rFonts w:ascii="黑体" w:eastAsia="黑体"/>
                                  <w:b/>
                                  <w:szCs w:val="28"/>
                                </w:rPr>
                              </w:pPr>
                              <w:r>
                                <w:rPr>
                                  <w:rFonts w:hint="eastAsia" w:ascii="黑体" w:eastAsia="黑体"/>
                                  <w:b/>
                                  <w:szCs w:val="28"/>
                                </w:rPr>
                                <w:t>形势分析</w:t>
                              </w:r>
                            </w:p>
                          </w:txbxContent>
                        </wps:txbx>
                        <wps:bodyPr rot="0" vert="horz" wrap="square" lIns="91440" tIns="45720" rIns="91440" bIns="45720" anchor="t" anchorCtr="0" upright="1">
                          <a:noAutofit/>
                        </wps:bodyPr>
                      </wps:wsp>
                      <wps:wsp>
                        <wps:cNvPr id="50" name="AutoShape 12"/>
                        <wps:cNvSpPr>
                          <a:spLocks noChangeArrowheads="1"/>
                        </wps:cNvSpPr>
                        <wps:spPr bwMode="auto">
                          <a:xfrm>
                            <a:off x="0" y="686"/>
                            <a:ext cx="2340" cy="1404"/>
                          </a:xfrm>
                          <a:prstGeom prst="rightArrow">
                            <a:avLst>
                              <a:gd name="adj1" fmla="val 50000"/>
                              <a:gd name="adj2" fmla="val 41667"/>
                            </a:avLst>
                          </a:prstGeom>
                          <a:solidFill>
                            <a:srgbClr val="FFFFFF"/>
                          </a:solidFill>
                          <a:ln w="9525">
                            <a:solidFill>
                              <a:srgbClr val="000000"/>
                            </a:solidFill>
                            <a:prstDash val="lgDash"/>
                            <a:miter lim="200000"/>
                          </a:ln>
                        </wps:spPr>
                        <wps:txbx>
                          <w:txbxContent>
                            <w:p>
                              <w:pPr>
                                <w:jc w:val="center"/>
                                <w:rPr>
                                  <w:rFonts w:ascii="黑体" w:eastAsia="黑体"/>
                                  <w:b/>
                                  <w:szCs w:val="28"/>
                                </w:rPr>
                              </w:pPr>
                              <w:r>
                                <w:rPr>
                                  <w:rFonts w:hint="eastAsia" w:ascii="黑体" w:eastAsia="黑体"/>
                                  <w:b/>
                                  <w:szCs w:val="28"/>
                                </w:rPr>
                                <w:t>发展评价</w:t>
                              </w:r>
                            </w:p>
                          </w:txbxContent>
                        </wps:txbx>
                        <wps:bodyPr rot="0" vert="horz" wrap="square" lIns="91440" tIns="45720" rIns="91440" bIns="45720" anchor="t" anchorCtr="0" upright="1">
                          <a:noAutofit/>
                        </wps:bodyPr>
                      </wps:wsp>
                      <wps:wsp>
                        <wps:cNvPr id="51" name="AutoShape 13"/>
                        <wps:cNvSpPr>
                          <a:spLocks noChangeArrowheads="1"/>
                        </wps:cNvSpPr>
                        <wps:spPr bwMode="auto">
                          <a:xfrm>
                            <a:off x="3021" y="728"/>
                            <a:ext cx="4535" cy="496"/>
                          </a:xfrm>
                          <a:prstGeom prst="roundRect">
                            <a:avLst>
                              <a:gd name="adj" fmla="val 16667"/>
                            </a:avLst>
                          </a:prstGeom>
                          <a:solidFill>
                            <a:srgbClr val="DDDDDD"/>
                          </a:solidFill>
                          <a:ln>
                            <a:noFill/>
                          </a:ln>
                          <a:effectLst>
                            <a:outerShdw dist="35920" dir="2700000" algn="ctr" rotWithShape="0">
                              <a:srgbClr val="808080"/>
                            </a:outerShdw>
                          </a:effectLst>
                        </wps:spPr>
                        <wps:txbx>
                          <w:txbxContent>
                            <w:p>
                              <w:pPr>
                                <w:spacing w:line="240" w:lineRule="auto"/>
                                <w:jc w:val="center"/>
                                <w:rPr>
                                  <w:rFonts w:ascii="黑体" w:hAnsi="黑体" w:eastAsia="黑体"/>
                                  <w:sz w:val="21"/>
                                  <w:szCs w:val="21"/>
                                </w:rPr>
                              </w:pPr>
                              <w:r>
                                <w:rPr>
                                  <w:rFonts w:hint="eastAsia" w:ascii="黑体" w:hAnsi="黑体" w:eastAsia="黑体"/>
                                  <w:sz w:val="21"/>
                                  <w:szCs w:val="21"/>
                                </w:rPr>
                                <w:t>“十三五”交通运输发展状况评价</w:t>
                              </w:r>
                            </w:p>
                          </w:txbxContent>
                        </wps:txbx>
                        <wps:bodyPr rot="0" vert="horz" wrap="square" lIns="91440" tIns="45720" rIns="91440" bIns="45720" anchor="t" anchorCtr="0" upright="1">
                          <a:noAutofit/>
                        </wps:bodyPr>
                      </wps:wsp>
                      <wps:wsp>
                        <wps:cNvPr id="52" name="Rectangle 14"/>
                        <wps:cNvSpPr>
                          <a:spLocks noChangeArrowheads="1"/>
                        </wps:cNvSpPr>
                        <wps:spPr bwMode="auto">
                          <a:xfrm>
                            <a:off x="3553" y="1600"/>
                            <a:ext cx="1269" cy="646"/>
                          </a:xfrm>
                          <a:prstGeom prst="rect">
                            <a:avLst/>
                          </a:prstGeom>
                          <a:solidFill>
                            <a:srgbClr val="FFFFFF"/>
                          </a:solidFill>
                          <a:ln w="6350">
                            <a:solidFill>
                              <a:srgbClr val="000000"/>
                            </a:solidFill>
                            <a:miter lim="200000"/>
                          </a:ln>
                        </wps:spPr>
                        <wps:txbx>
                          <w:txbxContent>
                            <w:p>
                              <w:pPr>
                                <w:snapToGrid w:val="0"/>
                                <w:spacing w:line="240" w:lineRule="auto"/>
                                <w:jc w:val="center"/>
                                <w:rPr>
                                  <w:rFonts w:ascii="宋体" w:hAnsi="宋体"/>
                                  <w:sz w:val="18"/>
                                  <w:szCs w:val="18"/>
                                </w:rPr>
                              </w:pPr>
                              <w:r>
                                <w:rPr>
                                  <w:rFonts w:hint="eastAsia" w:ascii="宋体" w:hAnsi="宋体"/>
                                  <w:sz w:val="18"/>
                                  <w:szCs w:val="18"/>
                                </w:rPr>
                                <w:t>发展成就与经验总结</w:t>
                              </w:r>
                            </w:p>
                          </w:txbxContent>
                        </wps:txbx>
                        <wps:bodyPr rot="0" vert="horz" wrap="square" lIns="91440" tIns="45720" rIns="91440" bIns="45720" anchor="t" anchorCtr="0" upright="1">
                          <a:noAutofit/>
                        </wps:bodyPr>
                      </wps:wsp>
                      <wps:wsp>
                        <wps:cNvPr id="53" name="Rectangle 15"/>
                        <wps:cNvSpPr>
                          <a:spLocks noChangeArrowheads="1"/>
                        </wps:cNvSpPr>
                        <wps:spPr bwMode="auto">
                          <a:xfrm>
                            <a:off x="5947" y="1600"/>
                            <a:ext cx="1081" cy="646"/>
                          </a:xfrm>
                          <a:prstGeom prst="rect">
                            <a:avLst/>
                          </a:prstGeom>
                          <a:solidFill>
                            <a:srgbClr val="FFFFFF"/>
                          </a:solidFill>
                          <a:ln w="6350">
                            <a:solidFill>
                              <a:srgbClr val="000000"/>
                            </a:solidFill>
                            <a:miter lim="200000"/>
                          </a:ln>
                        </wps:spPr>
                        <wps:txbx>
                          <w:txbxContent>
                            <w:p>
                              <w:pPr>
                                <w:snapToGrid w:val="0"/>
                                <w:spacing w:line="240" w:lineRule="auto"/>
                                <w:jc w:val="center"/>
                                <w:rPr>
                                  <w:rFonts w:ascii="宋体" w:hAnsi="宋体"/>
                                  <w:sz w:val="18"/>
                                  <w:szCs w:val="18"/>
                                </w:rPr>
                              </w:pPr>
                              <w:r>
                                <w:rPr>
                                  <w:rFonts w:hint="eastAsia" w:ascii="宋体" w:hAnsi="宋体"/>
                                  <w:sz w:val="18"/>
                                  <w:szCs w:val="18"/>
                                </w:rPr>
                                <w:t>主要问题分析</w:t>
                              </w:r>
                            </w:p>
                            <w:p>
                              <w:pPr>
                                <w:rPr>
                                  <w:szCs w:val="18"/>
                                </w:rPr>
                              </w:pPr>
                            </w:p>
                          </w:txbxContent>
                        </wps:txbx>
                        <wps:bodyPr rot="0" vert="horz" wrap="square" lIns="91440" tIns="45720" rIns="91440" bIns="45720" anchor="t" anchorCtr="0" upright="1">
                          <a:noAutofit/>
                        </wps:bodyPr>
                      </wps:wsp>
                      <wps:wsp>
                        <wps:cNvPr id="54" name="Rectangle 16"/>
                        <wps:cNvSpPr>
                          <a:spLocks noChangeArrowheads="1"/>
                        </wps:cNvSpPr>
                        <wps:spPr bwMode="auto">
                          <a:xfrm>
                            <a:off x="4725" y="4078"/>
                            <a:ext cx="1260" cy="656"/>
                          </a:xfrm>
                          <a:prstGeom prst="rect">
                            <a:avLst/>
                          </a:prstGeom>
                          <a:solidFill>
                            <a:srgbClr val="FFFFFF"/>
                          </a:solidFill>
                          <a:ln w="6350">
                            <a:solidFill>
                              <a:srgbClr val="000000"/>
                            </a:solidFill>
                            <a:miter lim="200000"/>
                          </a:ln>
                        </wps:spPr>
                        <wps:txbx>
                          <w:txbxContent>
                            <w:p>
                              <w:pPr>
                                <w:snapToGrid w:val="0"/>
                                <w:spacing w:line="240" w:lineRule="auto"/>
                                <w:jc w:val="center"/>
                                <w:rPr>
                                  <w:rFonts w:ascii="宋体" w:hAnsi="宋体"/>
                                  <w:sz w:val="18"/>
                                  <w:szCs w:val="18"/>
                                </w:rPr>
                              </w:pPr>
                              <w:r>
                                <w:rPr>
                                  <w:rFonts w:hint="eastAsia" w:ascii="宋体" w:hAnsi="宋体"/>
                                  <w:sz w:val="18"/>
                                  <w:szCs w:val="18"/>
                                </w:rPr>
                                <w:t>发展特征</w:t>
                              </w:r>
                            </w:p>
                            <w:p>
                              <w:pPr>
                                <w:snapToGrid w:val="0"/>
                                <w:spacing w:line="240" w:lineRule="auto"/>
                                <w:jc w:val="center"/>
                                <w:rPr>
                                  <w:rFonts w:ascii="宋体" w:hAnsi="宋体"/>
                                  <w:sz w:val="18"/>
                                  <w:szCs w:val="18"/>
                                </w:rPr>
                              </w:pPr>
                              <w:r>
                                <w:rPr>
                                  <w:rFonts w:hint="eastAsia" w:ascii="宋体" w:hAnsi="宋体"/>
                                  <w:sz w:val="18"/>
                                  <w:szCs w:val="18"/>
                                </w:rPr>
                                <w:t>分析</w:t>
                              </w:r>
                            </w:p>
                          </w:txbxContent>
                        </wps:txbx>
                        <wps:bodyPr rot="0" vert="horz" wrap="square" lIns="91440" tIns="45720" rIns="91440" bIns="45720" anchor="t" anchorCtr="0" upright="1">
                          <a:noAutofit/>
                        </wps:bodyPr>
                      </wps:wsp>
                      <wps:wsp>
                        <wps:cNvPr id="55" name="Rectangle 17"/>
                        <wps:cNvSpPr>
                          <a:spLocks noChangeArrowheads="1"/>
                        </wps:cNvSpPr>
                        <wps:spPr bwMode="auto">
                          <a:xfrm>
                            <a:off x="2996" y="4078"/>
                            <a:ext cx="1260" cy="640"/>
                          </a:xfrm>
                          <a:prstGeom prst="rect">
                            <a:avLst/>
                          </a:prstGeom>
                          <a:solidFill>
                            <a:srgbClr val="FFFFFF"/>
                          </a:solidFill>
                          <a:ln w="6350">
                            <a:solidFill>
                              <a:srgbClr val="000000"/>
                            </a:solidFill>
                            <a:miter lim="200000"/>
                          </a:ln>
                        </wps:spPr>
                        <wps:txbx>
                          <w:txbxContent>
                            <w:p>
                              <w:pPr>
                                <w:snapToGrid w:val="0"/>
                                <w:spacing w:line="240" w:lineRule="auto"/>
                                <w:jc w:val="center"/>
                                <w:rPr>
                                  <w:rFonts w:ascii="宋体" w:hAnsi="宋体"/>
                                  <w:szCs w:val="21"/>
                                </w:rPr>
                              </w:pPr>
                              <w:r>
                                <w:rPr>
                                  <w:rFonts w:hint="eastAsia" w:ascii="宋体" w:hAnsi="宋体"/>
                                  <w:sz w:val="18"/>
                                  <w:szCs w:val="18"/>
                                </w:rPr>
                                <w:t>发展面临的机遇与挑战</w:t>
                              </w:r>
                            </w:p>
                          </w:txbxContent>
                        </wps:txbx>
                        <wps:bodyPr rot="0" vert="horz" wrap="square" lIns="91440" tIns="45720" rIns="91440" bIns="45720" anchor="t" anchorCtr="0" upright="1">
                          <a:noAutofit/>
                        </wps:bodyPr>
                      </wps:wsp>
                      <wps:wsp>
                        <wps:cNvPr id="56" name="Rectangle 18"/>
                        <wps:cNvSpPr>
                          <a:spLocks noChangeArrowheads="1"/>
                        </wps:cNvSpPr>
                        <wps:spPr bwMode="auto">
                          <a:xfrm>
                            <a:off x="6340" y="4078"/>
                            <a:ext cx="1260" cy="656"/>
                          </a:xfrm>
                          <a:prstGeom prst="rect">
                            <a:avLst/>
                          </a:prstGeom>
                          <a:solidFill>
                            <a:srgbClr val="FFFFFF"/>
                          </a:solidFill>
                          <a:ln w="6350">
                            <a:solidFill>
                              <a:srgbClr val="000000"/>
                            </a:solidFill>
                            <a:miter lim="200000"/>
                          </a:ln>
                        </wps:spPr>
                        <wps:txbx>
                          <w:txbxContent>
                            <w:p>
                              <w:pPr>
                                <w:snapToGrid w:val="0"/>
                                <w:spacing w:line="240" w:lineRule="auto"/>
                                <w:jc w:val="center"/>
                                <w:rPr>
                                  <w:rFonts w:ascii="宋体" w:hAnsi="宋体"/>
                                  <w:sz w:val="18"/>
                                  <w:szCs w:val="18"/>
                                </w:rPr>
                              </w:pPr>
                              <w:r>
                                <w:rPr>
                                  <w:rFonts w:hint="eastAsia" w:ascii="宋体" w:hAnsi="宋体"/>
                                  <w:sz w:val="18"/>
                                  <w:szCs w:val="18"/>
                                </w:rPr>
                                <w:t>运输需求</w:t>
                              </w:r>
                            </w:p>
                            <w:p>
                              <w:pPr>
                                <w:snapToGrid w:val="0"/>
                                <w:spacing w:line="240" w:lineRule="auto"/>
                                <w:jc w:val="center"/>
                                <w:rPr>
                                  <w:rFonts w:ascii="宋体" w:hAnsi="宋体"/>
                                  <w:sz w:val="18"/>
                                  <w:szCs w:val="18"/>
                                </w:rPr>
                              </w:pPr>
                              <w:r>
                                <w:rPr>
                                  <w:rFonts w:hint="eastAsia" w:ascii="宋体" w:hAnsi="宋体"/>
                                  <w:sz w:val="18"/>
                                  <w:szCs w:val="18"/>
                                </w:rPr>
                                <w:t>预测</w:t>
                              </w:r>
                            </w:p>
                            <w:p>
                              <w:pPr>
                                <w:snapToGrid w:val="0"/>
                                <w:jc w:val="center"/>
                                <w:rPr>
                                  <w:rFonts w:ascii="宋体" w:hAnsi="宋体"/>
                                  <w:sz w:val="18"/>
                                  <w:szCs w:val="18"/>
                                </w:rPr>
                              </w:pPr>
                            </w:p>
                          </w:txbxContent>
                        </wps:txbx>
                        <wps:bodyPr rot="0" vert="horz" wrap="square" lIns="91440" tIns="45720" rIns="91440" bIns="45720" anchor="t" anchorCtr="0" upright="1">
                          <a:noAutofit/>
                        </wps:bodyPr>
                      </wps:wsp>
                      <wps:wsp>
                        <wps:cNvPr id="57" name="Rectangle 19"/>
                        <wps:cNvSpPr>
                          <a:spLocks noChangeArrowheads="1"/>
                        </wps:cNvSpPr>
                        <wps:spPr bwMode="auto">
                          <a:xfrm>
                            <a:off x="3499" y="8933"/>
                            <a:ext cx="1152" cy="400"/>
                          </a:xfrm>
                          <a:prstGeom prst="rect">
                            <a:avLst/>
                          </a:prstGeom>
                          <a:solidFill>
                            <a:srgbClr val="FFFFFF"/>
                          </a:solidFill>
                          <a:ln w="6350">
                            <a:solidFill>
                              <a:srgbClr val="000000"/>
                            </a:solidFill>
                            <a:miter lim="200000"/>
                          </a:ln>
                        </wps:spPr>
                        <wps:txbx>
                          <w:txbxContent>
                            <w:p>
                              <w:pPr>
                                <w:snapToGrid w:val="0"/>
                                <w:spacing w:line="240" w:lineRule="auto"/>
                                <w:jc w:val="center"/>
                                <w:rPr>
                                  <w:rFonts w:ascii="宋体" w:hAnsi="宋体"/>
                                  <w:sz w:val="18"/>
                                  <w:szCs w:val="18"/>
                                </w:rPr>
                              </w:pPr>
                              <w:r>
                                <w:rPr>
                                  <w:rFonts w:hint="eastAsia" w:ascii="宋体" w:hAnsi="宋体"/>
                                  <w:sz w:val="18"/>
                                  <w:szCs w:val="18"/>
                                </w:rPr>
                                <w:t>政策建议</w:t>
                              </w:r>
                            </w:p>
                          </w:txbxContent>
                        </wps:txbx>
                        <wps:bodyPr rot="0" vert="horz" wrap="square" lIns="91440" tIns="45720" rIns="91440" bIns="45720" anchor="t" anchorCtr="0" upright="1">
                          <a:noAutofit/>
                        </wps:bodyPr>
                      </wps:wsp>
                      <wps:wsp>
                        <wps:cNvPr id="58" name="Rectangle 20"/>
                        <wps:cNvSpPr>
                          <a:spLocks noChangeArrowheads="1"/>
                        </wps:cNvSpPr>
                        <wps:spPr bwMode="auto">
                          <a:xfrm>
                            <a:off x="5893" y="8933"/>
                            <a:ext cx="1151" cy="403"/>
                          </a:xfrm>
                          <a:prstGeom prst="rect">
                            <a:avLst/>
                          </a:prstGeom>
                          <a:solidFill>
                            <a:srgbClr val="FFFFFF"/>
                          </a:solidFill>
                          <a:ln w="6350">
                            <a:solidFill>
                              <a:srgbClr val="000000"/>
                            </a:solidFill>
                            <a:miter lim="200000"/>
                          </a:ln>
                        </wps:spPr>
                        <wps:txbx>
                          <w:txbxContent>
                            <w:p>
                              <w:pPr>
                                <w:snapToGrid w:val="0"/>
                                <w:spacing w:line="240" w:lineRule="auto"/>
                                <w:jc w:val="center"/>
                                <w:rPr>
                                  <w:rFonts w:ascii="宋体" w:hAnsi="宋体"/>
                                  <w:sz w:val="18"/>
                                  <w:szCs w:val="18"/>
                                </w:rPr>
                              </w:pPr>
                              <w:r>
                                <w:rPr>
                                  <w:rFonts w:hint="eastAsia" w:ascii="宋体" w:hAnsi="宋体"/>
                                  <w:sz w:val="18"/>
                                  <w:szCs w:val="18"/>
                                </w:rPr>
                                <w:t>保障措施</w:t>
                              </w:r>
                            </w:p>
                          </w:txbxContent>
                        </wps:txbx>
                        <wps:bodyPr rot="0" vert="horz" wrap="square" lIns="91440" tIns="45720" rIns="91440" bIns="45720" anchor="t" anchorCtr="0" upright="1">
                          <a:noAutofit/>
                        </wps:bodyPr>
                      </wps:wsp>
                      <wps:wsp>
                        <wps:cNvPr id="59" name="AutoShape 21"/>
                        <wps:cNvSpPr>
                          <a:spLocks noChangeArrowheads="1"/>
                        </wps:cNvSpPr>
                        <wps:spPr bwMode="auto">
                          <a:xfrm>
                            <a:off x="3084" y="3246"/>
                            <a:ext cx="4535" cy="496"/>
                          </a:xfrm>
                          <a:prstGeom prst="roundRect">
                            <a:avLst>
                              <a:gd name="adj" fmla="val 16667"/>
                            </a:avLst>
                          </a:prstGeom>
                          <a:solidFill>
                            <a:srgbClr val="DDDDDD"/>
                          </a:solidFill>
                          <a:ln>
                            <a:noFill/>
                          </a:ln>
                          <a:effectLst>
                            <a:outerShdw dist="35920" dir="2700000" algn="ctr" rotWithShape="0">
                              <a:srgbClr val="808080"/>
                            </a:outerShdw>
                          </a:effectLst>
                        </wps:spPr>
                        <wps:txbx>
                          <w:txbxContent>
                            <w:p>
                              <w:pPr>
                                <w:spacing w:line="240" w:lineRule="auto"/>
                                <w:jc w:val="center"/>
                                <w:rPr>
                                  <w:rFonts w:ascii="黑体" w:eastAsia="黑体"/>
                                  <w:sz w:val="21"/>
                                  <w:szCs w:val="21"/>
                                </w:rPr>
                              </w:pPr>
                              <w:r>
                                <w:rPr>
                                  <w:rFonts w:hint="eastAsia" w:ascii="黑体" w:eastAsia="黑体"/>
                                  <w:sz w:val="21"/>
                                  <w:szCs w:val="21"/>
                                </w:rPr>
                                <w:t>“十四五”交通运输发展形势分析</w:t>
                              </w:r>
                            </w:p>
                          </w:txbxContent>
                        </wps:txbx>
                        <wps:bodyPr rot="0" vert="horz" wrap="square" lIns="91440" tIns="45720" rIns="91440" bIns="45720" anchor="t" anchorCtr="0" upright="1">
                          <a:noAutofit/>
                        </wps:bodyPr>
                      </wps:wsp>
                      <wps:wsp>
                        <wps:cNvPr id="60" name="Rectangle 22"/>
                        <wps:cNvSpPr>
                          <a:spLocks noChangeArrowheads="1"/>
                        </wps:cNvSpPr>
                        <wps:spPr bwMode="auto">
                          <a:xfrm>
                            <a:off x="2337" y="7758"/>
                            <a:ext cx="5760" cy="1810"/>
                          </a:xfrm>
                          <a:prstGeom prst="rect">
                            <a:avLst/>
                          </a:prstGeom>
                          <a:noFill/>
                          <a:ln w="12700" cap="rnd">
                            <a:solidFill>
                              <a:srgbClr val="000000"/>
                            </a:solidFill>
                            <a:prstDash val="sysDot"/>
                            <a:miter lim="200000"/>
                          </a:ln>
                        </wps:spPr>
                        <wps:bodyPr rot="0" vert="horz" wrap="square" lIns="91440" tIns="45720" rIns="91440" bIns="45720" anchor="t" anchorCtr="0" upright="1">
                          <a:noAutofit/>
                        </wps:bodyPr>
                      </wps:wsp>
                      <wps:wsp>
                        <wps:cNvPr id="61" name="AutoShape 23"/>
                        <wps:cNvSpPr>
                          <a:spLocks noChangeArrowheads="1"/>
                        </wps:cNvSpPr>
                        <wps:spPr bwMode="auto">
                          <a:xfrm>
                            <a:off x="2945" y="5854"/>
                            <a:ext cx="4636" cy="493"/>
                          </a:xfrm>
                          <a:prstGeom prst="roundRect">
                            <a:avLst>
                              <a:gd name="adj" fmla="val 16667"/>
                            </a:avLst>
                          </a:prstGeom>
                          <a:solidFill>
                            <a:srgbClr val="DDDDDD"/>
                          </a:solidFill>
                          <a:ln>
                            <a:noFill/>
                          </a:ln>
                          <a:effectLst>
                            <a:outerShdw dist="35920" dir="2700000" algn="ctr" rotWithShape="0">
                              <a:srgbClr val="808080"/>
                            </a:outerShdw>
                          </a:effectLst>
                        </wps:spPr>
                        <wps:txbx>
                          <w:txbxContent>
                            <w:p>
                              <w:pPr>
                                <w:spacing w:line="240" w:lineRule="auto"/>
                                <w:jc w:val="center"/>
                                <w:rPr>
                                  <w:rFonts w:ascii="黑体" w:eastAsia="黑体"/>
                                  <w:sz w:val="21"/>
                                  <w:szCs w:val="21"/>
                                </w:rPr>
                              </w:pPr>
                              <w:r>
                                <w:rPr>
                                  <w:rFonts w:hint="eastAsia" w:ascii="黑体" w:eastAsia="黑体"/>
                                  <w:sz w:val="21"/>
                                  <w:szCs w:val="21"/>
                                </w:rPr>
                                <w:t>“十四五”交通建设规划方案</w:t>
                              </w:r>
                            </w:p>
                          </w:txbxContent>
                        </wps:txbx>
                        <wps:bodyPr rot="0" vert="horz" wrap="square" lIns="91440" tIns="45720" rIns="91440" bIns="45720" anchor="t" anchorCtr="0" upright="1">
                          <a:noAutofit/>
                        </wps:bodyPr>
                      </wps:wsp>
                      <wps:wsp>
                        <wps:cNvPr id="62" name="Rectangle 24"/>
                        <wps:cNvSpPr>
                          <a:spLocks noChangeArrowheads="1"/>
                        </wps:cNvSpPr>
                        <wps:spPr bwMode="auto">
                          <a:xfrm>
                            <a:off x="3933" y="6624"/>
                            <a:ext cx="1260" cy="402"/>
                          </a:xfrm>
                          <a:prstGeom prst="rect">
                            <a:avLst/>
                          </a:prstGeom>
                          <a:solidFill>
                            <a:srgbClr val="FFFFFF"/>
                          </a:solidFill>
                          <a:ln w="6350">
                            <a:solidFill>
                              <a:srgbClr val="000000"/>
                            </a:solidFill>
                            <a:miter lim="200000"/>
                          </a:ln>
                        </wps:spPr>
                        <wps:txbx>
                          <w:txbxContent>
                            <w:p>
                              <w:pPr>
                                <w:snapToGrid w:val="0"/>
                                <w:spacing w:line="240" w:lineRule="auto"/>
                                <w:jc w:val="center"/>
                                <w:rPr>
                                  <w:rFonts w:ascii="宋体" w:hAnsi="宋体"/>
                                  <w:sz w:val="18"/>
                                  <w:szCs w:val="18"/>
                                </w:rPr>
                              </w:pPr>
                              <w:r>
                                <w:rPr>
                                  <w:rFonts w:hint="eastAsia" w:ascii="宋体" w:hAnsi="宋体"/>
                                  <w:sz w:val="18"/>
                                  <w:szCs w:val="18"/>
                                </w:rPr>
                                <w:t>重点任务</w:t>
                              </w:r>
                            </w:p>
                          </w:txbxContent>
                        </wps:txbx>
                        <wps:bodyPr rot="0" vert="horz" wrap="square" lIns="91440" tIns="45720" rIns="91440" bIns="45720" anchor="t" anchorCtr="0" upright="1">
                          <a:noAutofit/>
                        </wps:bodyPr>
                      </wps:wsp>
                      <wps:wsp>
                        <wps:cNvPr id="63" name="Rectangle 25"/>
                        <wps:cNvSpPr>
                          <a:spLocks noChangeArrowheads="1"/>
                        </wps:cNvSpPr>
                        <wps:spPr bwMode="auto">
                          <a:xfrm>
                            <a:off x="2565" y="6624"/>
                            <a:ext cx="1260" cy="402"/>
                          </a:xfrm>
                          <a:prstGeom prst="rect">
                            <a:avLst/>
                          </a:prstGeom>
                          <a:solidFill>
                            <a:srgbClr val="FFFFFF"/>
                          </a:solidFill>
                          <a:ln w="6350">
                            <a:solidFill>
                              <a:srgbClr val="000000"/>
                            </a:solidFill>
                            <a:miter lim="200000"/>
                          </a:ln>
                        </wps:spPr>
                        <wps:txbx>
                          <w:txbxContent>
                            <w:p>
                              <w:pPr>
                                <w:snapToGrid w:val="0"/>
                                <w:spacing w:line="240" w:lineRule="auto"/>
                                <w:jc w:val="center"/>
                                <w:rPr>
                                  <w:rFonts w:ascii="宋体" w:hAnsi="宋体"/>
                                  <w:szCs w:val="21"/>
                                </w:rPr>
                              </w:pPr>
                              <w:r>
                                <w:rPr>
                                  <w:rFonts w:hint="eastAsia" w:ascii="宋体" w:hAnsi="宋体"/>
                                  <w:sz w:val="18"/>
                                  <w:szCs w:val="18"/>
                                </w:rPr>
                                <w:t>发展目标</w:t>
                              </w:r>
                            </w:p>
                          </w:txbxContent>
                        </wps:txbx>
                        <wps:bodyPr rot="0" vert="horz" wrap="square" lIns="91440" tIns="45720" rIns="91440" bIns="45720" anchor="t" anchorCtr="0" upright="1">
                          <a:noAutofit/>
                        </wps:bodyPr>
                      </wps:wsp>
                      <wps:wsp>
                        <wps:cNvPr id="64" name="Rectangle 26"/>
                        <wps:cNvSpPr>
                          <a:spLocks noChangeArrowheads="1"/>
                        </wps:cNvSpPr>
                        <wps:spPr bwMode="auto">
                          <a:xfrm>
                            <a:off x="5390" y="6606"/>
                            <a:ext cx="1492" cy="450"/>
                          </a:xfrm>
                          <a:prstGeom prst="rect">
                            <a:avLst/>
                          </a:prstGeom>
                          <a:solidFill>
                            <a:srgbClr val="FFFFFF"/>
                          </a:solidFill>
                          <a:ln w="6350">
                            <a:solidFill>
                              <a:srgbClr val="000000"/>
                            </a:solidFill>
                            <a:miter lim="200000"/>
                          </a:ln>
                        </wps:spPr>
                        <wps:txbx>
                          <w:txbxContent>
                            <w:p>
                              <w:pPr>
                                <w:snapToGrid w:val="0"/>
                                <w:spacing w:line="240" w:lineRule="auto"/>
                                <w:rPr>
                                  <w:rFonts w:ascii="宋体" w:hAnsi="宋体"/>
                                  <w:sz w:val="18"/>
                                  <w:szCs w:val="18"/>
                                </w:rPr>
                              </w:pPr>
                              <w:r>
                                <w:rPr>
                                  <w:rFonts w:hint="eastAsia" w:ascii="宋体" w:hAnsi="宋体"/>
                                  <w:sz w:val="18"/>
                                  <w:szCs w:val="18"/>
                                </w:rPr>
                                <w:t>谋划重点项目</w:t>
                              </w:r>
                            </w:p>
                          </w:txbxContent>
                        </wps:txbx>
                        <wps:bodyPr rot="0" vert="horz" wrap="square" lIns="91440" tIns="45720" rIns="91440" bIns="45720" anchor="t" anchorCtr="0" upright="1">
                          <a:noAutofit/>
                        </wps:bodyPr>
                      </wps:wsp>
                      <wps:wsp>
                        <wps:cNvPr id="65" name="AutoShape 27"/>
                        <wps:cNvSpPr>
                          <a:spLocks noChangeArrowheads="1"/>
                        </wps:cNvSpPr>
                        <wps:spPr bwMode="auto">
                          <a:xfrm>
                            <a:off x="4989" y="7278"/>
                            <a:ext cx="597" cy="468"/>
                          </a:xfrm>
                          <a:prstGeom prst="downArrow">
                            <a:avLst>
                              <a:gd name="adj1" fmla="val 50000"/>
                              <a:gd name="adj2" fmla="val 25000"/>
                            </a:avLst>
                          </a:prstGeom>
                          <a:solidFill>
                            <a:srgbClr val="FFFFFF"/>
                          </a:solidFill>
                          <a:ln w="9525">
                            <a:solidFill>
                              <a:srgbClr val="000000"/>
                            </a:solidFill>
                            <a:miter lim="200000"/>
                          </a:ln>
                        </wps:spPr>
                        <wps:bodyPr rot="0" vert="eaVert" wrap="square" lIns="91440" tIns="45720" rIns="91440" bIns="45720" anchor="t" anchorCtr="0" upright="1">
                          <a:noAutofit/>
                        </wps:bodyPr>
                      </wps:wsp>
                      <wps:wsp>
                        <wps:cNvPr id="66" name="AutoShape 28"/>
                        <wps:cNvSpPr>
                          <a:spLocks noChangeArrowheads="1"/>
                        </wps:cNvSpPr>
                        <wps:spPr bwMode="auto">
                          <a:xfrm>
                            <a:off x="0" y="8014"/>
                            <a:ext cx="2340" cy="1404"/>
                          </a:xfrm>
                          <a:prstGeom prst="rightArrow">
                            <a:avLst>
                              <a:gd name="adj1" fmla="val 50000"/>
                              <a:gd name="adj2" fmla="val 41667"/>
                            </a:avLst>
                          </a:prstGeom>
                          <a:solidFill>
                            <a:srgbClr val="FFFFFF"/>
                          </a:solidFill>
                          <a:ln w="9525">
                            <a:solidFill>
                              <a:srgbClr val="000000"/>
                            </a:solidFill>
                            <a:prstDash val="lgDash"/>
                            <a:miter lim="200000"/>
                          </a:ln>
                        </wps:spPr>
                        <wps:txbx>
                          <w:txbxContent>
                            <w:p>
                              <w:pPr>
                                <w:jc w:val="center"/>
                                <w:rPr>
                                  <w:rFonts w:ascii="黑体" w:eastAsia="黑体"/>
                                  <w:b/>
                                  <w:szCs w:val="28"/>
                                </w:rPr>
                              </w:pPr>
                              <w:r>
                                <w:rPr>
                                  <w:rFonts w:hint="eastAsia" w:ascii="黑体" w:eastAsia="黑体"/>
                                  <w:b/>
                                  <w:szCs w:val="28"/>
                                </w:rPr>
                                <w:t>保障措施</w:t>
                              </w:r>
                            </w:p>
                          </w:txbxContent>
                        </wps:txbx>
                        <wps:bodyPr rot="0" vert="horz" wrap="square" lIns="91440" tIns="45720" rIns="91440" bIns="45720" anchor="t" anchorCtr="0" upright="1">
                          <a:noAutofit/>
                        </wps:bodyPr>
                      </wps:wsp>
                      <wps:wsp>
                        <wps:cNvPr id="67" name="AutoShape 29"/>
                        <wps:cNvCnPr>
                          <a:cxnSpLocks noChangeShapeType="1"/>
                        </wps:cNvCnPr>
                        <wps:spPr bwMode="auto">
                          <a:xfrm rot="16200000" flipH="1">
                            <a:off x="5699" y="813"/>
                            <a:ext cx="376" cy="1199"/>
                          </a:xfrm>
                          <a:prstGeom prst="bentConnector3">
                            <a:avLst>
                              <a:gd name="adj1" fmla="val 50000"/>
                            </a:avLst>
                          </a:prstGeom>
                          <a:noFill/>
                          <a:ln w="9525">
                            <a:solidFill>
                              <a:srgbClr val="000000"/>
                            </a:solidFill>
                            <a:miter lim="200000"/>
                            <a:tailEnd type="triangle" w="sm" len="sm"/>
                          </a:ln>
                        </wps:spPr>
                        <wps:bodyPr/>
                      </wps:wsp>
                      <wps:wsp>
                        <wps:cNvPr id="68" name="AutoShape 30"/>
                        <wps:cNvCnPr>
                          <a:cxnSpLocks noChangeShapeType="1"/>
                        </wps:cNvCnPr>
                        <wps:spPr bwMode="auto">
                          <a:xfrm rot="5400000">
                            <a:off x="4550" y="862"/>
                            <a:ext cx="376" cy="1100"/>
                          </a:xfrm>
                          <a:prstGeom prst="bentConnector3">
                            <a:avLst>
                              <a:gd name="adj1" fmla="val 50000"/>
                            </a:avLst>
                          </a:prstGeom>
                          <a:noFill/>
                          <a:ln w="9525">
                            <a:solidFill>
                              <a:srgbClr val="000000"/>
                            </a:solidFill>
                            <a:miter lim="200000"/>
                            <a:tailEnd type="triangle" w="sm" len="sm"/>
                          </a:ln>
                        </wps:spPr>
                        <wps:bodyPr/>
                      </wps:wsp>
                      <wps:wsp>
                        <wps:cNvPr id="69" name="AutoShape 31"/>
                        <wps:cNvCnPr>
                          <a:cxnSpLocks noChangeShapeType="1"/>
                        </wps:cNvCnPr>
                        <wps:spPr bwMode="auto">
                          <a:xfrm rot="16200000" flipH="1">
                            <a:off x="5179" y="3901"/>
                            <a:ext cx="336" cy="3"/>
                          </a:xfrm>
                          <a:prstGeom prst="bentConnector3">
                            <a:avLst>
                              <a:gd name="adj1" fmla="val 50000"/>
                            </a:avLst>
                          </a:prstGeom>
                          <a:noFill/>
                          <a:ln w="9525">
                            <a:solidFill>
                              <a:srgbClr val="000000"/>
                            </a:solidFill>
                            <a:miter lim="200000"/>
                            <a:tailEnd type="triangle" w="sm" len="sm"/>
                          </a:ln>
                        </wps:spPr>
                        <wps:bodyPr/>
                      </wps:wsp>
                      <wps:wsp>
                        <wps:cNvPr id="70" name="AutoShape 32"/>
                        <wps:cNvCnPr>
                          <a:cxnSpLocks noChangeShapeType="1"/>
                        </wps:cNvCnPr>
                        <wps:spPr bwMode="auto">
                          <a:xfrm rot="5400000">
                            <a:off x="4321" y="3047"/>
                            <a:ext cx="336" cy="1726"/>
                          </a:xfrm>
                          <a:prstGeom prst="bentConnector3">
                            <a:avLst>
                              <a:gd name="adj1" fmla="val 50000"/>
                            </a:avLst>
                          </a:prstGeom>
                          <a:noFill/>
                          <a:ln w="9525">
                            <a:solidFill>
                              <a:srgbClr val="000000"/>
                            </a:solidFill>
                            <a:miter lim="200000"/>
                            <a:tailEnd type="triangle" w="sm" len="sm"/>
                          </a:ln>
                        </wps:spPr>
                        <wps:bodyPr/>
                      </wps:wsp>
                      <wps:wsp>
                        <wps:cNvPr id="71" name="AutoShape 33"/>
                        <wps:cNvCnPr>
                          <a:cxnSpLocks noChangeShapeType="1"/>
                        </wps:cNvCnPr>
                        <wps:spPr bwMode="auto">
                          <a:xfrm rot="16200000" flipH="1">
                            <a:off x="5993" y="3101"/>
                            <a:ext cx="336" cy="1618"/>
                          </a:xfrm>
                          <a:prstGeom prst="bentConnector3">
                            <a:avLst>
                              <a:gd name="adj1" fmla="val 50000"/>
                            </a:avLst>
                          </a:prstGeom>
                          <a:noFill/>
                          <a:ln w="9525">
                            <a:solidFill>
                              <a:srgbClr val="000000"/>
                            </a:solidFill>
                            <a:miter lim="200000"/>
                            <a:tailEnd type="triangle" w="sm" len="sm"/>
                          </a:ln>
                        </wps:spPr>
                        <wps:bodyPr/>
                      </wps:wsp>
                      <wps:wsp>
                        <wps:cNvPr id="72" name="AutoShape 34"/>
                        <wps:cNvCnPr>
                          <a:cxnSpLocks noChangeShapeType="1"/>
                        </wps:cNvCnPr>
                        <wps:spPr bwMode="auto">
                          <a:xfrm rot="16200000" flipH="1">
                            <a:off x="5512" y="6098"/>
                            <a:ext cx="259" cy="757"/>
                          </a:xfrm>
                          <a:prstGeom prst="bentConnector3">
                            <a:avLst>
                              <a:gd name="adj1" fmla="val 49806"/>
                            </a:avLst>
                          </a:prstGeom>
                          <a:noFill/>
                          <a:ln w="9525">
                            <a:solidFill>
                              <a:srgbClr val="000000"/>
                            </a:solidFill>
                            <a:miter lim="200000"/>
                            <a:tailEnd type="triangle" w="sm" len="sm"/>
                          </a:ln>
                        </wps:spPr>
                        <wps:bodyPr/>
                      </wps:wsp>
                      <wps:wsp>
                        <wps:cNvPr id="73" name="AutoShape 35"/>
                        <wps:cNvCnPr>
                          <a:cxnSpLocks noChangeShapeType="1"/>
                        </wps:cNvCnPr>
                        <wps:spPr bwMode="auto">
                          <a:xfrm rot="5400000">
                            <a:off x="4767" y="6129"/>
                            <a:ext cx="277" cy="700"/>
                          </a:xfrm>
                          <a:prstGeom prst="bentConnector3">
                            <a:avLst>
                              <a:gd name="adj1" fmla="val 49819"/>
                            </a:avLst>
                          </a:prstGeom>
                          <a:noFill/>
                          <a:ln w="9525">
                            <a:solidFill>
                              <a:srgbClr val="000000"/>
                            </a:solidFill>
                            <a:miter lim="200000"/>
                            <a:tailEnd type="triangle" w="sm" len="sm"/>
                          </a:ln>
                        </wps:spPr>
                        <wps:bodyPr/>
                      </wps:wsp>
                      <wps:wsp>
                        <wps:cNvPr id="74" name="AutoShape 36"/>
                        <wps:cNvCnPr>
                          <a:cxnSpLocks noChangeShapeType="1"/>
                        </wps:cNvCnPr>
                        <wps:spPr bwMode="auto">
                          <a:xfrm rot="5400000">
                            <a:off x="4083" y="5445"/>
                            <a:ext cx="277" cy="2068"/>
                          </a:xfrm>
                          <a:prstGeom prst="bentConnector3">
                            <a:avLst>
                              <a:gd name="adj1" fmla="val 49819"/>
                            </a:avLst>
                          </a:prstGeom>
                          <a:noFill/>
                          <a:ln w="9525">
                            <a:solidFill>
                              <a:srgbClr val="000000"/>
                            </a:solidFill>
                            <a:miter lim="200000"/>
                            <a:tailEnd type="triangle" w="sm" len="sm"/>
                          </a:ln>
                        </wps:spPr>
                        <wps:bodyPr/>
                      </wps:wsp>
                      <wps:wsp>
                        <wps:cNvPr id="75" name="AutoShape 37"/>
                        <wps:cNvCnPr>
                          <a:cxnSpLocks noChangeShapeType="1"/>
                        </wps:cNvCnPr>
                        <wps:spPr bwMode="auto">
                          <a:xfrm rot="16200000" flipH="1">
                            <a:off x="5712" y="8175"/>
                            <a:ext cx="314" cy="1187"/>
                          </a:xfrm>
                          <a:prstGeom prst="bentConnector3">
                            <a:avLst>
                              <a:gd name="adj1" fmla="val 49681"/>
                            </a:avLst>
                          </a:prstGeom>
                          <a:noFill/>
                          <a:ln w="9525">
                            <a:solidFill>
                              <a:srgbClr val="000000"/>
                            </a:solidFill>
                            <a:miter lim="200000"/>
                            <a:tailEnd type="triangle" w="sm" len="sm"/>
                          </a:ln>
                        </wps:spPr>
                        <wps:bodyPr/>
                      </wps:wsp>
                      <wps:wsp>
                        <wps:cNvPr id="76" name="AutoShape 38"/>
                        <wps:cNvCnPr>
                          <a:cxnSpLocks noChangeShapeType="1"/>
                        </wps:cNvCnPr>
                        <wps:spPr bwMode="auto">
                          <a:xfrm rot="5400000">
                            <a:off x="4515" y="8165"/>
                            <a:ext cx="314" cy="1207"/>
                          </a:xfrm>
                          <a:prstGeom prst="bentConnector3">
                            <a:avLst>
                              <a:gd name="adj1" fmla="val 49681"/>
                            </a:avLst>
                          </a:prstGeom>
                          <a:noFill/>
                          <a:ln w="9525">
                            <a:solidFill>
                              <a:srgbClr val="000000"/>
                            </a:solidFill>
                            <a:miter lim="200000"/>
                            <a:tailEnd type="triangle" w="sm" len="sm"/>
                          </a:ln>
                        </wps:spPr>
                        <wps:bodyPr/>
                      </wps:wsp>
                      <wps:wsp>
                        <wps:cNvPr id="77" name="Rectangle 39"/>
                        <wps:cNvSpPr>
                          <a:spLocks noChangeArrowheads="1"/>
                        </wps:cNvSpPr>
                        <wps:spPr bwMode="auto">
                          <a:xfrm>
                            <a:off x="7028" y="6627"/>
                            <a:ext cx="1069" cy="413"/>
                          </a:xfrm>
                          <a:prstGeom prst="rect">
                            <a:avLst/>
                          </a:prstGeom>
                          <a:solidFill>
                            <a:srgbClr val="FFFFFF"/>
                          </a:solidFill>
                          <a:ln w="6350">
                            <a:solidFill>
                              <a:srgbClr val="000000"/>
                            </a:solidFill>
                            <a:miter lim="200000"/>
                          </a:ln>
                        </wps:spPr>
                        <wps:txbx>
                          <w:txbxContent>
                            <w:p>
                              <w:pPr>
                                <w:snapToGrid w:val="0"/>
                                <w:spacing w:line="240" w:lineRule="auto"/>
                                <w:jc w:val="center"/>
                                <w:rPr>
                                  <w:rFonts w:ascii="宋体" w:hAnsi="宋体"/>
                                  <w:sz w:val="18"/>
                                  <w:szCs w:val="18"/>
                                </w:rPr>
                              </w:pPr>
                              <w:r>
                                <w:rPr>
                                  <w:rFonts w:hint="eastAsia" w:ascii="宋体" w:hAnsi="宋体"/>
                                  <w:sz w:val="18"/>
                                  <w:szCs w:val="18"/>
                                </w:rPr>
                                <w:t>供需分析</w:t>
                              </w:r>
                            </w:p>
                          </w:txbxContent>
                        </wps:txbx>
                        <wps:bodyPr rot="0" vert="horz" wrap="square" lIns="91440" tIns="45720" rIns="91440" bIns="45720" anchor="t" anchorCtr="0" upright="1">
                          <a:noAutofit/>
                        </wps:bodyPr>
                      </wps:wsp>
                      <wps:wsp>
                        <wps:cNvPr id="78" name="AutoShape 40"/>
                        <wps:cNvCnPr>
                          <a:cxnSpLocks noChangeShapeType="1"/>
                        </wps:cNvCnPr>
                        <wps:spPr bwMode="auto">
                          <a:xfrm rot="16200000" flipH="1">
                            <a:off x="6176" y="5434"/>
                            <a:ext cx="280" cy="2106"/>
                          </a:xfrm>
                          <a:prstGeom prst="bentConnector3">
                            <a:avLst>
                              <a:gd name="adj1" fmla="val 49644"/>
                            </a:avLst>
                          </a:prstGeom>
                          <a:noFill/>
                          <a:ln w="9525">
                            <a:solidFill>
                              <a:srgbClr val="000000"/>
                            </a:solidFill>
                            <a:miter lim="200000"/>
                            <a:tailEnd type="triangle" w="sm" len="sm"/>
                          </a:ln>
                        </wps:spPr>
                        <wps:bodyPr/>
                      </wps:wsp>
                    </wpg:wgp>
                  </a:graphicData>
                </a:graphic>
              </wp:inline>
            </w:drawing>
          </mc:Choice>
          <mc:Fallback>
            <w:pict>
              <v:group id="_x0000_s1026" o:spid="_x0000_s1026" o:spt="203" style="height:451pt;width:388.65pt;" coordsize="8118,9745" o:gfxdata="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">
                <o:lock v:ext="edit" aspectratio="f"/>
                <v:rect id="Rectangle 3" o:spid="_x0000_s1026" o:spt="1" style="position:absolute;left:0;top:0;height:9745;width:8118;" filled="f" stroked="f" coordsize="21600,21600" o:gfxdata="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MAulr0AAADbAAAADwAAAAAAAAABACAAAAA4AAAAZHJzL2Rvd25yZXYu&#10;eG1sUEsBAhQAFAAAAAgAh07iQDMvBZ47AAAAOQAAABAAAAAAAAAAAQAgAAAAIgEAAGRycy9zaGFw&#10;ZXhtbC54bWxQSwUGAAAAAAYABgBbAQAAzAMAAAAA&#10;">
                  <v:fill on="f" focussize="0,0"/>
                  <v:stroke on="f"/>
                  <v:imagedata o:title=""/>
                  <o:lock v:ext="edit" aspectratio="f"/>
                </v:rect>
                <v:rect id="Rectangle 4" o:spid="_x0000_s1026" o:spt="1" style="position:absolute;left:2356;top:5502;height:1680;width:5760;" filled="f" stroked="t" coordsize="21600,21600" o:gfxdata="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bcv8C+AAAA2wAAAA8AAAAAAAAAAQAgAAAAOAAAAGRycy9kb3ducmV2&#10;LnhtbFBLAQIUABQAAAAIAIdO4kAzLwWeOwAAADkAAAAQAAAAAAAAAAEAIAAAACMBAABkcnMvc2hh&#10;cGV4bWwueG1sUEsFBgAAAAAGAAYAWwEAAM0DAAAAAA==&#10;">
                  <v:fill on="f" focussize="0,0"/>
                  <v:stroke weight="1pt" color="#000000" miterlimit="2" joinstyle="miter" dashstyle="1 1" endcap="round"/>
                  <v:imagedata o:title=""/>
                  <o:lock v:ext="edit" aspectratio="f"/>
                </v:rect>
                <v:rect id="Rectangle 5" o:spid="_x0000_s1026" o:spt="1" style="position:absolute;left:2356;top:2910;height:2028;width:5760;" filled="f" stroked="t" coordsize="21600,21600" o:gfxdata="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ZAaW8AAAADbAAAADwAAAAAAAAABACAAAAA4AAAAZHJzL2Rvd25y&#10;ZXYueG1sUEsBAhQAFAAAAAgAh07iQDMvBZ47AAAAOQAAABAAAAAAAAAAAQAgAAAAJQEAAGRycy9z&#10;aGFwZXhtbC54bWxQSwUGAAAAAAYABgBbAQAAzwMAAAAA&#10;">
                  <v:fill on="f" focussize="0,0"/>
                  <v:stroke weight="1pt" color="#000000" miterlimit="2" joinstyle="miter" dashstyle="1 1" endcap="round"/>
                  <v:imagedata o:title=""/>
                  <o:lock v:ext="edit" aspectratio="f"/>
                </v:rect>
                <v:rect id="Rectangle 6" o:spid="_x0000_s1026" o:spt="1" style="position:absolute;left:2356;top:392;height:2038;width:5760;" filled="f" stroked="t" coordsize="21600,21600" o:gfxdata="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Z5gi++AAAA2wAAAA8AAAAAAAAAAQAgAAAAOAAAAGRycy9kb3ducmV2&#10;LnhtbFBLAQIUABQAAAAIAIdO4kAzLwWeOwAAADkAAAAQAAAAAAAAAAEAIAAAACMBAABkcnMvc2hh&#10;cGV4bWwueG1sUEsFBgAAAAAGAAYAWwEAAM0DAAAAAA==&#10;">
                  <v:fill on="f" focussize="0,0"/>
                  <v:stroke weight="1pt" color="#000000" miterlimit="2" joinstyle="miter" dashstyle="1 1" endcap="round"/>
                  <v:imagedata o:title=""/>
                  <o:lock v:ext="edit" aspectratio="f"/>
                </v:rect>
                <v:roundrect id="AutoShape 7" o:spid="_x0000_s1026" o:spt="2" style="position:absolute;left:2964;top:8126;height:493;width:4636;" fillcolor="#DDDDDD" filled="t" stroked="f" coordsize="21600,21600" arcsize="0.166666666666667" o:gfxdata="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AFS4NvwAAANsAAAAPAAAAAAAAAAEAIAAAADgAAABkcnMvZG93bnJl&#10;di54bWxQSwECFAAUAAAACACHTuJAMy8FnjsAAAA5AAAAEAAAAAAAAAABACAAAAAkAQAAZHJzL3No&#10;YXBleG1sLnhtbFBLBQYAAAAABgAGAFsBAADOAwAAAAA=&#10;">
                  <v:fill on="t" focussize="0,0"/>
                  <v:stroke on="f"/>
                  <v:imagedata o:title=""/>
                  <o:lock v:ext="edit" aspectratio="f"/>
                  <v:shadow on="t" color="#808080" offset="1.99992125984252pt,1.99992125984252pt" origin="0f,0f" matrix="65536f,0f,0f,65536f"/>
                  <v:textbox>
                    <w:txbxContent>
                      <w:p>
                        <w:pPr>
                          <w:spacing w:line="240" w:lineRule="auto"/>
                          <w:jc w:val="center"/>
                          <w:rPr>
                            <w:rFonts w:ascii="黑体" w:eastAsia="黑体"/>
                            <w:sz w:val="21"/>
                            <w:szCs w:val="21"/>
                          </w:rPr>
                        </w:pPr>
                        <w:r>
                          <w:rPr>
                            <w:rFonts w:hint="eastAsia" w:ascii="黑体" w:eastAsia="黑体"/>
                            <w:sz w:val="21"/>
                            <w:szCs w:val="21"/>
                          </w:rPr>
                          <w:t>保障规划实施的政策措施</w:t>
                        </w:r>
                      </w:p>
                    </w:txbxContent>
                  </v:textbox>
                </v:roundrect>
                <v:shape id="AutoShape 8" o:spid="_x0000_s1026" o:spt="67" type="#_x0000_t67" style="position:absolute;left:5103;top:2446;height:468;width:540;" fillcolor="#FFFFFF" filled="t" stroked="t" coordsize="21600,21600" o:gfxdata="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36e38LcAAADbAAAADwAAAAAAAAABACAAAAA4AAAAZHJzL2Rvd25yZXYueG1sUEsB&#10;AhQAFAAAAAgAh07iQDMvBZ47AAAAOQAAABAAAAAAAAAAAQAgAAAAHAEAAGRycy9zaGFwZXhtbC54&#10;bWxQSwUGAAAAAAYABgBbAQAAxgMAAAAA&#10;" adj="16200,5400">
                  <v:fill on="t" focussize="0,0"/>
                  <v:stroke color="#000000" miterlimit="2" joinstyle="miter"/>
                  <v:imagedata o:title=""/>
                  <o:lock v:ext="edit" aspectratio="f"/>
                  <v:textbox style="layout-flow:vertical-ideographic;"/>
                </v:shape>
                <v:shape id="AutoShape 9" o:spid="_x0000_s1026" o:spt="67" type="#_x0000_t67" style="position:absolute;left:5046;top:5002;height:468;width:540;" fillcolor="#FFFFFF" filled="t" stroked="t" coordsize="21600,21600" o:gfxdata="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sOsSa7cAAADbAAAADwAAAAAAAAABACAAAAA4AAAAZHJzL2Rvd25yZXYueG1sUEsB&#10;AhQAFAAAAAgAh07iQDMvBZ47AAAAOQAAABAAAAAAAAAAAQAgAAAAHAEAAGRycy9zaGFwZXhtbC54&#10;bWxQSwUGAAAAAAYABgBbAQAAxgMAAAAA&#10;" adj="16200,5400">
                  <v:fill on="t" focussize="0,0"/>
                  <v:stroke color="#000000" miterlimit="2" joinstyle="miter"/>
                  <v:imagedata o:title=""/>
                  <o:lock v:ext="edit" aspectratio="f"/>
                  <v:textbox style="layout-flow:vertical-ideographic;"/>
                </v:shape>
                <v:shape id="AutoShape 10" o:spid="_x0000_s1026" o:spt="13" type="#_x0000_t13" style="position:absolute;left:0;top:5582;height:1404;width:2340;" fillcolor="#FFFFFF" filled="t" stroked="t" coordsize="21600,21600" o:gfxdata="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aV6ve7AAAA2wAAAA8AAAAAAAAAAQAgAAAAOAAAAGRycy9kb3ducmV2Lnht&#10;bFBLAQIUABQAAAAIAIdO4kAzLwWeOwAAADkAAAAQAAAAAAAAAAEAIAAAACABAABkcnMvc2hhcGV4&#10;bWwueG1sUEsFBgAAAAAGAAYAWwEAAMoDAAAAAA==&#10;" adj="16200,5400">
                  <v:fill on="t" focussize="0,0"/>
                  <v:stroke color="#000000" miterlimit="2" joinstyle="miter" dashstyle="longDash"/>
                  <v:imagedata o:title=""/>
                  <o:lock v:ext="edit" aspectratio="f"/>
                  <v:textbox>
                    <w:txbxContent>
                      <w:p>
                        <w:pPr>
                          <w:jc w:val="center"/>
                          <w:rPr>
                            <w:rFonts w:ascii="黑体" w:eastAsia="黑体"/>
                            <w:b/>
                            <w:szCs w:val="28"/>
                          </w:rPr>
                        </w:pPr>
                        <w:r>
                          <w:rPr>
                            <w:rFonts w:hint="eastAsia" w:ascii="黑体" w:eastAsia="黑体"/>
                            <w:b/>
                            <w:szCs w:val="28"/>
                          </w:rPr>
                          <w:t>规划方案</w:t>
                        </w:r>
                      </w:p>
                    </w:txbxContent>
                  </v:textbox>
                </v:shape>
                <v:shape id="AutoShape 11" o:spid="_x0000_s1026" o:spt="13" type="#_x0000_t13" style="position:absolute;left:0;top:3294;height:1404;width:2340;" fillcolor="#FFFFFF" filled="t" stroked="t" coordsize="21600,21600" o:gfxdata="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dlPbL0AAADbAAAADwAAAAAAAAABACAAAAA4AAAAZHJzL2Rvd25yZXYu&#10;eG1sUEsBAhQAFAAAAAgAh07iQDMvBZ47AAAAOQAAABAAAAAAAAAAAQAgAAAAIgEAAGRycy9zaGFw&#10;ZXhtbC54bWxQSwUGAAAAAAYABgBbAQAAzAMAAAAA&#10;" adj="16200,5400">
                  <v:fill on="t" focussize="0,0"/>
                  <v:stroke color="#000000" miterlimit="2" joinstyle="miter" dashstyle="longDash"/>
                  <v:imagedata o:title=""/>
                  <o:lock v:ext="edit" aspectratio="f"/>
                  <v:textbox>
                    <w:txbxContent>
                      <w:p>
                        <w:pPr>
                          <w:jc w:val="center"/>
                          <w:rPr>
                            <w:rFonts w:ascii="黑体" w:eastAsia="黑体"/>
                            <w:b/>
                            <w:szCs w:val="28"/>
                          </w:rPr>
                        </w:pPr>
                        <w:r>
                          <w:rPr>
                            <w:rFonts w:hint="eastAsia" w:ascii="黑体" w:eastAsia="黑体"/>
                            <w:b/>
                            <w:szCs w:val="28"/>
                          </w:rPr>
                          <w:t>形势分析</w:t>
                        </w:r>
                      </w:p>
                    </w:txbxContent>
                  </v:textbox>
                </v:shape>
                <v:shape id="AutoShape 12" o:spid="_x0000_s1026" o:spt="13" type="#_x0000_t13" style="position:absolute;left:0;top:686;height:1404;width:2340;" fillcolor="#FFFFFF" filled="t" stroked="t" coordsize="21600,21600" o:gfxdata="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06cCy7AAAA2wAAAA8AAAAAAAAAAQAgAAAAOAAAAGRycy9kb3ducmV2Lnht&#10;bFBLAQIUABQAAAAIAIdO4kAzLwWeOwAAADkAAAAQAAAAAAAAAAEAIAAAACABAABkcnMvc2hhcGV4&#10;bWwueG1sUEsFBgAAAAAGAAYAWwEAAMoDAAAAAA==&#10;" adj="16200,5400">
                  <v:fill on="t" focussize="0,0"/>
                  <v:stroke color="#000000" miterlimit="2" joinstyle="miter" dashstyle="longDash"/>
                  <v:imagedata o:title=""/>
                  <o:lock v:ext="edit" aspectratio="f"/>
                  <v:textbox>
                    <w:txbxContent>
                      <w:p>
                        <w:pPr>
                          <w:jc w:val="center"/>
                          <w:rPr>
                            <w:rFonts w:ascii="黑体" w:eastAsia="黑体"/>
                            <w:b/>
                            <w:szCs w:val="28"/>
                          </w:rPr>
                        </w:pPr>
                        <w:r>
                          <w:rPr>
                            <w:rFonts w:hint="eastAsia" w:ascii="黑体" w:eastAsia="黑体"/>
                            <w:b/>
                            <w:szCs w:val="28"/>
                          </w:rPr>
                          <w:t>发展评价</w:t>
                        </w:r>
                      </w:p>
                    </w:txbxContent>
                  </v:textbox>
                </v:shape>
                <v:roundrect id="AutoShape 13" o:spid="_x0000_s1026" o:spt="2" style="position:absolute;left:3021;top:728;height:496;width:4535;" fillcolor="#DDDDDD" filled="t" stroked="f" coordsize="21600,21600" arcsize="0.166666666666667" o:gfxdata="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ve+070AAADbAAAADwAAAAAAAAABACAAAAA4AAAAZHJzL2Rvd25yZXYu&#10;eG1sUEsBAhQAFAAAAAgAh07iQDMvBZ47AAAAOQAAABAAAAAAAAAAAQAgAAAAIgEAAGRycy9zaGFw&#10;ZXhtbC54bWxQSwUGAAAAAAYABgBbAQAAzAMAAAAA&#10;">
                  <v:fill on="t" focussize="0,0"/>
                  <v:stroke on="f"/>
                  <v:imagedata o:title=""/>
                  <o:lock v:ext="edit" aspectratio="f"/>
                  <v:shadow on="t" color="#808080" offset="1.99992125984252pt,1.99992125984252pt" origin="0f,0f" matrix="65536f,0f,0f,65536f"/>
                  <v:textbox>
                    <w:txbxContent>
                      <w:p>
                        <w:pPr>
                          <w:spacing w:line="240" w:lineRule="auto"/>
                          <w:jc w:val="center"/>
                          <w:rPr>
                            <w:rFonts w:ascii="黑体" w:hAnsi="黑体" w:eastAsia="黑体"/>
                            <w:sz w:val="21"/>
                            <w:szCs w:val="21"/>
                          </w:rPr>
                        </w:pPr>
                        <w:r>
                          <w:rPr>
                            <w:rFonts w:hint="eastAsia" w:ascii="黑体" w:hAnsi="黑体" w:eastAsia="黑体"/>
                            <w:sz w:val="21"/>
                            <w:szCs w:val="21"/>
                          </w:rPr>
                          <w:t>“十三五”交通运输发展状况评价</w:t>
                        </w:r>
                      </w:p>
                    </w:txbxContent>
                  </v:textbox>
                </v:roundrect>
                <v:rect id="Rectangle 14" o:spid="_x0000_s1026" o:spt="1" style="position:absolute;left:3553;top:1600;height:646;width:1269;" fillcolor="#FFFFFF" filled="t" stroked="t" coordsize="21600,21600" o:gfxdata="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76QQ+7AAAA2wAAAA8AAAAAAAAAAQAgAAAAOAAAAGRycy9kb3ducmV2Lnht&#10;bFBLAQIUABQAAAAIAIdO4kAzLwWeOwAAADkAAAAQAAAAAAAAAAEAIAAAACABAABkcnMvc2hhcGV4&#10;bWwueG1sUEsFBgAAAAAGAAYAWwEAAMoDAAAAAA==&#10;">
                  <v:fill on="t" focussize="0,0"/>
                  <v:stroke weight="0.5pt" color="#000000" miterlimit="2" joinstyle="miter"/>
                  <v:imagedata o:title=""/>
                  <o:lock v:ext="edit" aspectratio="f"/>
                  <v:textbox>
                    <w:txbxContent>
                      <w:p>
                        <w:pPr>
                          <w:snapToGrid w:val="0"/>
                          <w:spacing w:line="240" w:lineRule="auto"/>
                          <w:jc w:val="center"/>
                          <w:rPr>
                            <w:rFonts w:ascii="宋体" w:hAnsi="宋体"/>
                            <w:sz w:val="18"/>
                            <w:szCs w:val="18"/>
                          </w:rPr>
                        </w:pPr>
                        <w:r>
                          <w:rPr>
                            <w:rFonts w:hint="eastAsia" w:ascii="宋体" w:hAnsi="宋体"/>
                            <w:sz w:val="18"/>
                            <w:szCs w:val="18"/>
                          </w:rPr>
                          <w:t>发展成就与经验总结</w:t>
                        </w:r>
                      </w:p>
                    </w:txbxContent>
                  </v:textbox>
                </v:rect>
                <v:rect id="Rectangle 15" o:spid="_x0000_s1026" o:spt="1" style="position:absolute;left:5947;top:1600;height:646;width:1081;" fillcolor="#FFFFFF" filled="t" stroked="t" coordsize="21600,21600" o:gfxdata="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BtuSUvAAAANsAAAAPAAAAAAAAAAEAIAAAADgAAABkcnMvZG93bnJldi54&#10;bWxQSwECFAAUAAAACACHTuJAMy8FnjsAAAA5AAAAEAAAAAAAAAABACAAAAAhAQAAZHJzL3NoYXBl&#10;eG1sLnhtbFBLBQYAAAAABgAGAFsBAADLAwAAAAA=&#10;">
                  <v:fill on="t" focussize="0,0"/>
                  <v:stroke weight="0.5pt" color="#000000" miterlimit="2" joinstyle="miter"/>
                  <v:imagedata o:title=""/>
                  <o:lock v:ext="edit" aspectratio="f"/>
                  <v:textbox>
                    <w:txbxContent>
                      <w:p>
                        <w:pPr>
                          <w:snapToGrid w:val="0"/>
                          <w:spacing w:line="240" w:lineRule="auto"/>
                          <w:jc w:val="center"/>
                          <w:rPr>
                            <w:rFonts w:ascii="宋体" w:hAnsi="宋体"/>
                            <w:sz w:val="18"/>
                            <w:szCs w:val="18"/>
                          </w:rPr>
                        </w:pPr>
                        <w:r>
                          <w:rPr>
                            <w:rFonts w:hint="eastAsia" w:ascii="宋体" w:hAnsi="宋体"/>
                            <w:sz w:val="18"/>
                            <w:szCs w:val="18"/>
                          </w:rPr>
                          <w:t>主要问题分析</w:t>
                        </w:r>
                      </w:p>
                      <w:p>
                        <w:pPr>
                          <w:rPr>
                            <w:szCs w:val="18"/>
                          </w:rPr>
                        </w:pPr>
                      </w:p>
                    </w:txbxContent>
                  </v:textbox>
                </v:rect>
                <v:rect id="Rectangle 16" o:spid="_x0000_s1026" o:spt="1" style="position:absolute;left:4725;top:4078;height:656;width:1260;" fillcolor="#FFFFFF" filled="t" stroked="t" coordsize="21600,21600" o:gfxdata="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OX3zgvAAAANsAAAAPAAAAAAAAAAEAIAAAADgAAABkcnMvZG93bnJldi54&#10;bWxQSwECFAAUAAAACACHTuJAMy8FnjsAAAA5AAAAEAAAAAAAAAABACAAAAAhAQAAZHJzL3NoYXBl&#10;eG1sLnhtbFBLBQYAAAAABgAGAFsBAADLAwAAAAA=&#10;">
                  <v:fill on="t" focussize="0,0"/>
                  <v:stroke weight="0.5pt" color="#000000" miterlimit="2" joinstyle="miter"/>
                  <v:imagedata o:title=""/>
                  <o:lock v:ext="edit" aspectratio="f"/>
                  <v:textbox>
                    <w:txbxContent>
                      <w:p>
                        <w:pPr>
                          <w:snapToGrid w:val="0"/>
                          <w:spacing w:line="240" w:lineRule="auto"/>
                          <w:jc w:val="center"/>
                          <w:rPr>
                            <w:rFonts w:ascii="宋体" w:hAnsi="宋体"/>
                            <w:sz w:val="18"/>
                            <w:szCs w:val="18"/>
                          </w:rPr>
                        </w:pPr>
                        <w:r>
                          <w:rPr>
                            <w:rFonts w:hint="eastAsia" w:ascii="宋体" w:hAnsi="宋体"/>
                            <w:sz w:val="18"/>
                            <w:szCs w:val="18"/>
                          </w:rPr>
                          <w:t>发展特征</w:t>
                        </w:r>
                      </w:p>
                      <w:p>
                        <w:pPr>
                          <w:snapToGrid w:val="0"/>
                          <w:spacing w:line="240" w:lineRule="auto"/>
                          <w:jc w:val="center"/>
                          <w:rPr>
                            <w:rFonts w:ascii="宋体" w:hAnsi="宋体"/>
                            <w:sz w:val="18"/>
                            <w:szCs w:val="18"/>
                          </w:rPr>
                        </w:pPr>
                        <w:r>
                          <w:rPr>
                            <w:rFonts w:hint="eastAsia" w:ascii="宋体" w:hAnsi="宋体"/>
                            <w:sz w:val="18"/>
                            <w:szCs w:val="18"/>
                          </w:rPr>
                          <w:t>分析</w:t>
                        </w:r>
                      </w:p>
                    </w:txbxContent>
                  </v:textbox>
                </v:rect>
                <v:rect id="Rectangle 17" o:spid="_x0000_s1026" o:spt="1" style="position:absolute;left:2996;top:4078;height:640;width:1260;" fillcolor="#FFFFFF" filled="t" stroked="t" coordsize="21600,21600" o:gfxdata="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4RPZe70AAADbAAAADwAAAAAAAAABACAAAAA4AAAAZHJzL2Rvd25yZXYu&#10;eG1sUEsBAhQAFAAAAAgAh07iQDMvBZ47AAAAOQAAABAAAAAAAAAAAQAgAAAAIgEAAGRycy9zaGFw&#10;ZXhtbC54bWxQSwUGAAAAAAYABgBbAQAAzAMAAAAA&#10;">
                  <v:fill on="t" focussize="0,0"/>
                  <v:stroke weight="0.5pt" color="#000000" miterlimit="2" joinstyle="miter"/>
                  <v:imagedata o:title=""/>
                  <o:lock v:ext="edit" aspectratio="f"/>
                  <v:textbox>
                    <w:txbxContent>
                      <w:p>
                        <w:pPr>
                          <w:snapToGrid w:val="0"/>
                          <w:spacing w:line="240" w:lineRule="auto"/>
                          <w:jc w:val="center"/>
                          <w:rPr>
                            <w:rFonts w:ascii="宋体" w:hAnsi="宋体"/>
                            <w:szCs w:val="21"/>
                          </w:rPr>
                        </w:pPr>
                        <w:r>
                          <w:rPr>
                            <w:rFonts w:hint="eastAsia" w:ascii="宋体" w:hAnsi="宋体"/>
                            <w:sz w:val="18"/>
                            <w:szCs w:val="18"/>
                          </w:rPr>
                          <w:t>发展面临的机遇与挑战</w:t>
                        </w:r>
                      </w:p>
                    </w:txbxContent>
                  </v:textbox>
                </v:rect>
                <v:rect id="Rectangle 18" o:spid="_x0000_s1026" o:spt="1" style="position:absolute;left:6340;top:4078;height:656;width:1260;" fillcolor="#FFFFFF" filled="t" stroked="t" coordsize="21600,21600" o:gfxdata="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cFHDL0AAADbAAAADwAAAAAAAAABACAAAAA4AAAAZHJzL2Rvd25yZXYu&#10;eG1sUEsBAhQAFAAAAAgAh07iQDMvBZ47AAAAOQAAABAAAAAAAAAAAQAgAAAAIgEAAGRycy9zaGFw&#10;ZXhtbC54bWxQSwUGAAAAAAYABgBbAQAAzAMAAAAA&#10;">
                  <v:fill on="t" focussize="0,0"/>
                  <v:stroke weight="0.5pt" color="#000000" miterlimit="2" joinstyle="miter"/>
                  <v:imagedata o:title=""/>
                  <o:lock v:ext="edit" aspectratio="f"/>
                  <v:textbox>
                    <w:txbxContent>
                      <w:p>
                        <w:pPr>
                          <w:snapToGrid w:val="0"/>
                          <w:spacing w:line="240" w:lineRule="auto"/>
                          <w:jc w:val="center"/>
                          <w:rPr>
                            <w:rFonts w:ascii="宋体" w:hAnsi="宋体"/>
                            <w:sz w:val="18"/>
                            <w:szCs w:val="18"/>
                          </w:rPr>
                        </w:pPr>
                        <w:r>
                          <w:rPr>
                            <w:rFonts w:hint="eastAsia" w:ascii="宋体" w:hAnsi="宋体"/>
                            <w:sz w:val="18"/>
                            <w:szCs w:val="18"/>
                          </w:rPr>
                          <w:t>运输需求</w:t>
                        </w:r>
                      </w:p>
                      <w:p>
                        <w:pPr>
                          <w:snapToGrid w:val="0"/>
                          <w:spacing w:line="240" w:lineRule="auto"/>
                          <w:jc w:val="center"/>
                          <w:rPr>
                            <w:rFonts w:ascii="宋体" w:hAnsi="宋体"/>
                            <w:sz w:val="18"/>
                            <w:szCs w:val="18"/>
                          </w:rPr>
                        </w:pPr>
                        <w:r>
                          <w:rPr>
                            <w:rFonts w:hint="eastAsia" w:ascii="宋体" w:hAnsi="宋体"/>
                            <w:sz w:val="18"/>
                            <w:szCs w:val="18"/>
                          </w:rPr>
                          <w:t>预测</w:t>
                        </w:r>
                      </w:p>
                      <w:p>
                        <w:pPr>
                          <w:snapToGrid w:val="0"/>
                          <w:jc w:val="center"/>
                          <w:rPr>
                            <w:rFonts w:ascii="宋体" w:hAnsi="宋体"/>
                            <w:sz w:val="18"/>
                            <w:szCs w:val="18"/>
                          </w:rPr>
                        </w:pPr>
                      </w:p>
                    </w:txbxContent>
                  </v:textbox>
                </v:rect>
                <v:rect id="Rectangle 19" o:spid="_x0000_s1026" o:spt="1" style="position:absolute;left:3499;top:8933;height:400;width:1152;" fillcolor="#FFFFFF" filled="t" stroked="t" coordsize="21600,21600" o:gfxdata="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jeKXvAAAANsAAAAPAAAAAAAAAAEAIAAAADgAAABkcnMvZG93bnJldi54&#10;bWxQSwECFAAUAAAACACHTuJAMy8FnjsAAAA5AAAAEAAAAAAAAAABACAAAAAhAQAAZHJzL3NoYXBl&#10;eG1sLnhtbFBLBQYAAAAABgAGAFsBAADLAwAAAAA=&#10;">
                  <v:fill on="t" focussize="0,0"/>
                  <v:stroke weight="0.5pt" color="#000000" miterlimit="2" joinstyle="miter"/>
                  <v:imagedata o:title=""/>
                  <o:lock v:ext="edit" aspectratio="f"/>
                  <v:textbox>
                    <w:txbxContent>
                      <w:p>
                        <w:pPr>
                          <w:snapToGrid w:val="0"/>
                          <w:spacing w:line="240" w:lineRule="auto"/>
                          <w:jc w:val="center"/>
                          <w:rPr>
                            <w:rFonts w:ascii="宋体" w:hAnsi="宋体"/>
                            <w:sz w:val="18"/>
                            <w:szCs w:val="18"/>
                          </w:rPr>
                        </w:pPr>
                        <w:r>
                          <w:rPr>
                            <w:rFonts w:hint="eastAsia" w:ascii="宋体" w:hAnsi="宋体"/>
                            <w:sz w:val="18"/>
                            <w:szCs w:val="18"/>
                          </w:rPr>
                          <w:t>政策建议</w:t>
                        </w:r>
                      </w:p>
                    </w:txbxContent>
                  </v:textbox>
                </v:rect>
                <v:rect id="Rectangle 20" o:spid="_x0000_s1026" o:spt="1" style="position:absolute;left:5893;top:8933;height:403;width:1151;" fillcolor="#FFFFFF" filled="t" stroked="t" coordsize="21600,21600" o:gfxdata="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DxJ25bcAAADbAAAADwAAAAAAAAABACAAAAA4AAAAZHJzL2Rvd25yZXYueG1sUEsB&#10;AhQAFAAAAAgAh07iQDMvBZ47AAAAOQAAABAAAAAAAAAAAQAgAAAAHAEAAGRycy9zaGFwZXhtbC54&#10;bWxQSwUGAAAAAAYABgBbAQAAxgMAAAAA&#10;">
                  <v:fill on="t" focussize="0,0"/>
                  <v:stroke weight="0.5pt" color="#000000" miterlimit="2" joinstyle="miter"/>
                  <v:imagedata o:title=""/>
                  <o:lock v:ext="edit" aspectratio="f"/>
                  <v:textbox>
                    <w:txbxContent>
                      <w:p>
                        <w:pPr>
                          <w:snapToGrid w:val="0"/>
                          <w:spacing w:line="240" w:lineRule="auto"/>
                          <w:jc w:val="center"/>
                          <w:rPr>
                            <w:rFonts w:ascii="宋体" w:hAnsi="宋体"/>
                            <w:sz w:val="18"/>
                            <w:szCs w:val="18"/>
                          </w:rPr>
                        </w:pPr>
                        <w:r>
                          <w:rPr>
                            <w:rFonts w:hint="eastAsia" w:ascii="宋体" w:hAnsi="宋体"/>
                            <w:sz w:val="18"/>
                            <w:szCs w:val="18"/>
                          </w:rPr>
                          <w:t>保障措施</w:t>
                        </w:r>
                      </w:p>
                    </w:txbxContent>
                  </v:textbox>
                </v:rect>
                <v:roundrect id="AutoShape 21" o:spid="_x0000_s1026" o:spt="2" style="position:absolute;left:3084;top:3246;height:496;width:4535;" fillcolor="#DDDDDD" filled="t" stroked="f" coordsize="21600,21600" arcsize="0.166666666666667" o:gfxdata="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IGy1b0AAADbAAAADwAAAAAAAAABACAAAAA4AAAAZHJzL2Rvd25yZXYu&#10;eG1sUEsBAhQAFAAAAAgAh07iQDMvBZ47AAAAOQAAABAAAAAAAAAAAQAgAAAAIgEAAGRycy9zaGFw&#10;ZXhtbC54bWxQSwUGAAAAAAYABgBbAQAAzAMAAAAA&#10;">
                  <v:fill on="t" focussize="0,0"/>
                  <v:stroke on="f"/>
                  <v:imagedata o:title=""/>
                  <o:lock v:ext="edit" aspectratio="f"/>
                  <v:shadow on="t" color="#808080" offset="1.99992125984252pt,1.99992125984252pt" origin="0f,0f" matrix="65536f,0f,0f,65536f"/>
                  <v:textbox>
                    <w:txbxContent>
                      <w:p>
                        <w:pPr>
                          <w:spacing w:line="240" w:lineRule="auto"/>
                          <w:jc w:val="center"/>
                          <w:rPr>
                            <w:rFonts w:ascii="黑体" w:eastAsia="黑体"/>
                            <w:sz w:val="21"/>
                            <w:szCs w:val="21"/>
                          </w:rPr>
                        </w:pPr>
                        <w:r>
                          <w:rPr>
                            <w:rFonts w:hint="eastAsia" w:ascii="黑体" w:eastAsia="黑体"/>
                            <w:sz w:val="21"/>
                            <w:szCs w:val="21"/>
                          </w:rPr>
                          <w:t>“十四五”交通运输发展形势分析</w:t>
                        </w:r>
                      </w:p>
                    </w:txbxContent>
                  </v:textbox>
                </v:roundrect>
                <v:rect id="Rectangle 22" o:spid="_x0000_s1026" o:spt="1" style="position:absolute;left:2337;top:7758;height:1810;width:5760;" filled="f" stroked="t" coordsize="21600,21600" o:gfxdata="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4vfYTLoAAADbAAAADwAAAAAAAAABACAAAAA4AAAAZHJzL2Rvd25yZXYueG1s&#10;UEsBAhQAFAAAAAgAh07iQDMvBZ47AAAAOQAAABAAAAAAAAAAAQAgAAAAHwEAAGRycy9zaGFwZXht&#10;bC54bWxQSwUGAAAAAAYABgBbAQAAyQMAAAAA&#10;">
                  <v:fill on="f" focussize="0,0"/>
                  <v:stroke weight="1pt" color="#000000" miterlimit="2" joinstyle="miter" dashstyle="1 1" endcap="round"/>
                  <v:imagedata o:title=""/>
                  <o:lock v:ext="edit" aspectratio="f"/>
                </v:rect>
                <v:roundrect id="AutoShape 23" o:spid="_x0000_s1026" o:spt="2" style="position:absolute;left:2945;top:5854;height:493;width:4636;" fillcolor="#DDDDDD" filled="t" stroked="f" coordsize="21600,21600" arcsize="0.166666666666667" o:gfxdata="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Jt0br0AAADbAAAADwAAAAAAAAABACAAAAA4AAAAZHJzL2Rvd25yZXYu&#10;eG1sUEsBAhQAFAAAAAgAh07iQDMvBZ47AAAAOQAAABAAAAAAAAAAAQAgAAAAIgEAAGRycy9zaGFw&#10;ZXhtbC54bWxQSwUGAAAAAAYABgBbAQAAzAMAAAAA&#10;">
                  <v:fill on="t" focussize="0,0"/>
                  <v:stroke on="f"/>
                  <v:imagedata o:title=""/>
                  <o:lock v:ext="edit" aspectratio="f"/>
                  <v:shadow on="t" color="#808080" offset="1.99992125984252pt,1.99992125984252pt" origin="0f,0f" matrix="65536f,0f,0f,65536f"/>
                  <v:textbox>
                    <w:txbxContent>
                      <w:p>
                        <w:pPr>
                          <w:spacing w:line="240" w:lineRule="auto"/>
                          <w:jc w:val="center"/>
                          <w:rPr>
                            <w:rFonts w:ascii="黑体" w:eastAsia="黑体"/>
                            <w:sz w:val="21"/>
                            <w:szCs w:val="21"/>
                          </w:rPr>
                        </w:pPr>
                        <w:r>
                          <w:rPr>
                            <w:rFonts w:hint="eastAsia" w:ascii="黑体" w:eastAsia="黑体"/>
                            <w:sz w:val="21"/>
                            <w:szCs w:val="21"/>
                          </w:rPr>
                          <w:t>“十四五”交通建设规划方案</w:t>
                        </w:r>
                      </w:p>
                    </w:txbxContent>
                  </v:textbox>
                </v:roundrect>
                <v:rect id="Rectangle 24" o:spid="_x0000_s1026" o:spt="1" style="position:absolute;left:3933;top:6624;height:402;width:1260;" fillcolor="#FFFFFF" filled="t" stroked="t" coordsize="21600,21600" o:gfxdata="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JaLsr0AAADbAAAADwAAAAAAAAABACAAAAA4AAAAZHJzL2Rvd25yZXYu&#10;eG1sUEsBAhQAFAAAAAgAh07iQDMvBZ47AAAAOQAAABAAAAAAAAAAAQAgAAAAIgEAAGRycy9zaGFw&#10;ZXhtbC54bWxQSwUGAAAAAAYABgBbAQAAzAMAAAAA&#10;">
                  <v:fill on="t" focussize="0,0"/>
                  <v:stroke weight="0.5pt" color="#000000" miterlimit="2" joinstyle="miter"/>
                  <v:imagedata o:title=""/>
                  <o:lock v:ext="edit" aspectratio="f"/>
                  <v:textbox>
                    <w:txbxContent>
                      <w:p>
                        <w:pPr>
                          <w:snapToGrid w:val="0"/>
                          <w:spacing w:line="240" w:lineRule="auto"/>
                          <w:jc w:val="center"/>
                          <w:rPr>
                            <w:rFonts w:ascii="宋体" w:hAnsi="宋体"/>
                            <w:sz w:val="18"/>
                            <w:szCs w:val="18"/>
                          </w:rPr>
                        </w:pPr>
                        <w:r>
                          <w:rPr>
                            <w:rFonts w:hint="eastAsia" w:ascii="宋体" w:hAnsi="宋体"/>
                            <w:sz w:val="18"/>
                            <w:szCs w:val="18"/>
                          </w:rPr>
                          <w:t>重点任务</w:t>
                        </w:r>
                      </w:p>
                    </w:txbxContent>
                  </v:textbox>
                </v:rect>
                <v:rect id="Rectangle 25" o:spid="_x0000_s1026" o:spt="1" style="position:absolute;left:2565;top:6624;height:402;width:1260;" fillcolor="#FFFFFF" filled="t" stroked="t" coordsize="21600,21600" o:gfxdata="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9ouKb0AAADbAAAADwAAAAAAAAABACAAAAA4AAAAZHJzL2Rvd25yZXYu&#10;eG1sUEsBAhQAFAAAAAgAh07iQDMvBZ47AAAAOQAAABAAAAAAAAAAAQAgAAAAIgEAAGRycy9zaGFw&#10;ZXhtbC54bWxQSwUGAAAAAAYABgBbAQAAzAMAAAAA&#10;">
                  <v:fill on="t" focussize="0,0"/>
                  <v:stroke weight="0.5pt" color="#000000" miterlimit="2" joinstyle="miter"/>
                  <v:imagedata o:title=""/>
                  <o:lock v:ext="edit" aspectratio="f"/>
                  <v:textbox>
                    <w:txbxContent>
                      <w:p>
                        <w:pPr>
                          <w:snapToGrid w:val="0"/>
                          <w:spacing w:line="240" w:lineRule="auto"/>
                          <w:jc w:val="center"/>
                          <w:rPr>
                            <w:rFonts w:ascii="宋体" w:hAnsi="宋体"/>
                            <w:szCs w:val="21"/>
                          </w:rPr>
                        </w:pPr>
                        <w:r>
                          <w:rPr>
                            <w:rFonts w:hint="eastAsia" w:ascii="宋体" w:hAnsi="宋体"/>
                            <w:sz w:val="18"/>
                            <w:szCs w:val="18"/>
                          </w:rPr>
                          <w:t>发展目标</w:t>
                        </w:r>
                      </w:p>
                    </w:txbxContent>
                  </v:textbox>
                </v:rect>
                <v:rect id="Rectangle 26" o:spid="_x0000_s1026" o:spt="1" style="position:absolute;left:5390;top:6606;height:450;width:1492;" fillcolor="#FFFFFF" filled="t" stroked="t" coordsize="21600,21600" o:gfxdata="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DO2Xb0AAADbAAAADwAAAAAAAAABACAAAAA4AAAAZHJzL2Rvd25yZXYu&#10;eG1sUEsBAhQAFAAAAAgAh07iQDMvBZ47AAAAOQAAABAAAAAAAAAAAQAgAAAAIgEAAGRycy9zaGFw&#10;ZXhtbC54bWxQSwUGAAAAAAYABgBbAQAAzAMAAAAA&#10;">
                  <v:fill on="t" focussize="0,0"/>
                  <v:stroke weight="0.5pt" color="#000000" miterlimit="2" joinstyle="miter"/>
                  <v:imagedata o:title=""/>
                  <o:lock v:ext="edit" aspectratio="f"/>
                  <v:textbox>
                    <w:txbxContent>
                      <w:p>
                        <w:pPr>
                          <w:snapToGrid w:val="0"/>
                          <w:spacing w:line="240" w:lineRule="auto"/>
                          <w:rPr>
                            <w:rFonts w:ascii="宋体" w:hAnsi="宋体"/>
                            <w:sz w:val="18"/>
                            <w:szCs w:val="18"/>
                          </w:rPr>
                        </w:pPr>
                        <w:r>
                          <w:rPr>
                            <w:rFonts w:hint="eastAsia" w:ascii="宋体" w:hAnsi="宋体"/>
                            <w:sz w:val="18"/>
                            <w:szCs w:val="18"/>
                          </w:rPr>
                          <w:t>谋划重点项目</w:t>
                        </w:r>
                      </w:p>
                    </w:txbxContent>
                  </v:textbox>
                </v:rect>
                <v:shape id="AutoShape 27" o:spid="_x0000_s1026" o:spt="67" type="#_x0000_t67" style="position:absolute;left:4989;top:7278;height:468;width:597;" fillcolor="#FFFFFF" filled="t" stroked="t" coordsize="21600,21600" o:gfxdata="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ZMB157cAAADbAAAADwAAAAAAAAABACAAAAA4AAAAZHJzL2Rvd25yZXYueG1sUEsB&#10;AhQAFAAAAAgAh07iQDMvBZ47AAAAOQAAABAAAAAAAAAAAQAgAAAAHAEAAGRycy9zaGFwZXhtbC54&#10;bWxQSwUGAAAAAAYABgBbAQAAxgMAAAAA&#10;" adj="16200,5400">
                  <v:fill on="t" focussize="0,0"/>
                  <v:stroke color="#000000" miterlimit="2" joinstyle="miter"/>
                  <v:imagedata o:title=""/>
                  <o:lock v:ext="edit" aspectratio="f"/>
                  <v:textbox style="layout-flow:vertical-ideographic;"/>
                </v:shape>
                <v:shape id="AutoShape 28" o:spid="_x0000_s1026" o:spt="13" type="#_x0000_t13" style="position:absolute;left:0;top:8014;height:1404;width:2340;" fillcolor="#FFFFFF" filled="t" stroked="t" coordsize="21600,21600" o:gfxdata="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z84d+vAAAANsAAAAPAAAAAAAAAAEAIAAAADgAAABkcnMvZG93bnJldi54&#10;bWxQSwECFAAUAAAACACHTuJAMy8FnjsAAAA5AAAAEAAAAAAAAAABACAAAAAhAQAAZHJzL3NoYXBl&#10;eG1sLnhtbFBLBQYAAAAABgAGAFsBAADLAwAAAAA=&#10;" adj="16200,5400">
                  <v:fill on="t" focussize="0,0"/>
                  <v:stroke color="#000000" miterlimit="2" joinstyle="miter" dashstyle="longDash"/>
                  <v:imagedata o:title=""/>
                  <o:lock v:ext="edit" aspectratio="f"/>
                  <v:textbox>
                    <w:txbxContent>
                      <w:p>
                        <w:pPr>
                          <w:jc w:val="center"/>
                          <w:rPr>
                            <w:rFonts w:ascii="黑体" w:eastAsia="黑体"/>
                            <w:b/>
                            <w:szCs w:val="28"/>
                          </w:rPr>
                        </w:pPr>
                        <w:r>
                          <w:rPr>
                            <w:rFonts w:hint="eastAsia" w:ascii="黑体" w:eastAsia="黑体"/>
                            <w:b/>
                            <w:szCs w:val="28"/>
                          </w:rPr>
                          <w:t>保障措施</w:t>
                        </w:r>
                      </w:p>
                    </w:txbxContent>
                  </v:textbox>
                </v:shape>
                <v:shape id="AutoShape 29" o:spid="_x0000_s1026" o:spt="34" type="#_x0000_t34" style="position:absolute;left:5699;top:813;flip:x;height:1199;width:376;rotation:5898240f;" filled="f" stroked="t" coordsize="21600,21600" o:gfxdata="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Lzh8GLoAAADbAAAADwAAAAAAAAABACAAAAA4AAAAZHJzL2Rvd25yZXYueG1s&#10;UEsBAhQAFAAAAAgAh07iQDMvBZ47AAAAOQAAABAAAAAAAAAAAQAgAAAAHwEAAGRycy9zaGFwZXht&#10;bC54bWxQSwUGAAAAAAYABgBbAQAAyQMAAAAA&#10;" adj="10800">
                  <v:fill on="f" focussize="0,0"/>
                  <v:stroke color="#000000" miterlimit="2" joinstyle="miter" endarrow="block" endarrowwidth="narrow" endarrowlength="short"/>
                  <v:imagedata o:title=""/>
                  <o:lock v:ext="edit" aspectratio="f"/>
                </v:shape>
                <v:shape id="AutoShape 30" o:spid="_x0000_s1026" o:spt="34" type="#_x0000_t34" style="position:absolute;left:4550;top:862;height:1100;width:376;rotation:5898240f;" filled="f" stroked="t" coordsize="21600,21600" o:gfxdata="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&#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L4kKvO4AAAA2wAAAA8AAAAAAAAAAQAgAAAAOAAAAGRycy9kb3ducmV2LnhtbFBL&#10;AQIUABQAAAAIAIdO4kAzLwWeOwAAADkAAAAQAAAAAAAAAAEAIAAAAB0BAABkcnMvc2hhcGV4bWwu&#10;eG1sUEsFBgAAAAAGAAYAWwEAAMcDAAAAAA==&#10;" adj="10800">
                  <v:fill on="f" focussize="0,0"/>
                  <v:stroke color="#000000" miterlimit="2" joinstyle="miter" endarrow="block" endarrowwidth="narrow" endarrowlength="short"/>
                  <v:imagedata o:title=""/>
                  <o:lock v:ext="edit" aspectratio="f"/>
                </v:shape>
                <v:shape id="AutoShape 31" o:spid="_x0000_s1026" o:spt="34" type="#_x0000_t34" style="position:absolute;left:5179;top:3901;flip:x;height:3;width:336;rotation:5898240f;" filled="f" stroked="t" coordsize="21600,21600" o:gfxdata="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HrTfG7AAAA2wAAAA8AAAAAAAAAAQAgAAAAOAAAAGRycy9kb3ducmV2Lnht&#10;bFBLAQIUABQAAAAIAIdO4kAzLwWeOwAAADkAAAAQAAAAAAAAAAEAIAAAACABAABkcnMvc2hhcGV4&#10;bWwueG1sUEsFBgAAAAAGAAYAWwEAAMoDAAAAAA==&#10;" adj="10800">
                  <v:fill on="f" focussize="0,0"/>
                  <v:stroke color="#000000" miterlimit="2" joinstyle="miter" endarrow="block" endarrowwidth="narrow" endarrowlength="short"/>
                  <v:imagedata o:title=""/>
                  <o:lock v:ext="edit" aspectratio="f"/>
                </v:shape>
                <v:shape id="AutoShape 32" o:spid="_x0000_s1026" o:spt="34" type="#_x0000_t34" style="position:absolute;left:4321;top:3047;height:1726;width:336;rotation:5898240f;" filled="f" stroked="t" coordsize="21600,21600" o:gfxdata="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xYuwKLoAAADbAAAADwAAAAAAAAABACAAAAA4AAAAZHJzL2Rvd25yZXYueG1s&#10;UEsBAhQAFAAAAAgAh07iQDMvBZ47AAAAOQAAABAAAAAAAAAAAQAgAAAAHwEAAGRycy9zaGFwZXht&#10;bC54bWxQSwUGAAAAAAYABgBbAQAAyQMAAAAA&#10;" adj="10800">
                  <v:fill on="f" focussize="0,0"/>
                  <v:stroke color="#000000" miterlimit="2" joinstyle="miter" endarrow="block" endarrowwidth="narrow" endarrowlength="short"/>
                  <v:imagedata o:title=""/>
                  <o:lock v:ext="edit" aspectratio="f"/>
                </v:shape>
                <v:shape id="AutoShape 33" o:spid="_x0000_s1026" o:spt="34" type="#_x0000_t34" style="position:absolute;left:5993;top:3101;flip:x;height:1618;width:336;rotation:5898240f;" filled="f" stroked="t" coordsize="21600,21600" o:gfxdata="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pE1yq7AAAA2wAAAA8AAAAAAAAAAQAgAAAAOAAAAGRycy9kb3ducmV2Lnht&#10;bFBLAQIUABQAAAAIAIdO4kAzLwWeOwAAADkAAAAQAAAAAAAAAAEAIAAAACABAABkcnMvc2hhcGV4&#10;bWwueG1sUEsFBgAAAAAGAAYAWwEAAMoDAAAAAA==&#10;" adj="10800">
                  <v:fill on="f" focussize="0,0"/>
                  <v:stroke color="#000000" miterlimit="2" joinstyle="miter" endarrow="block" endarrowwidth="narrow" endarrowlength="short"/>
                  <v:imagedata o:title=""/>
                  <o:lock v:ext="edit" aspectratio="f"/>
                </v:shape>
                <v:shape id="AutoShape 34" o:spid="_x0000_s1026" o:spt="34" type="#_x0000_t34" style="position:absolute;left:5512;top:6098;flip:x;height:757;width:259;rotation:5898240f;" filled="f" stroked="t" coordsize="21600,21600" o:gfxdata="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g53lr0AAADbAAAADwAAAAAAAAABACAAAAA4AAAAZHJzL2Rvd25yZXYu&#10;eG1sUEsBAhQAFAAAAAgAh07iQDMvBZ47AAAAOQAAABAAAAAAAAAAAQAgAAAAIgEAAGRycy9zaGFw&#10;ZXhtbC54bWxQSwUGAAAAAAYABgBbAQAAzAMAAAAA&#10;" adj="10758">
                  <v:fill on="f" focussize="0,0"/>
                  <v:stroke color="#000000" miterlimit="2" joinstyle="miter" endarrow="block" endarrowwidth="narrow" endarrowlength="short"/>
                  <v:imagedata o:title=""/>
                  <o:lock v:ext="edit" aspectratio="f"/>
                </v:shape>
                <v:shape id="AutoShape 35" o:spid="_x0000_s1026" o:spt="34" type="#_x0000_t34" style="position:absolute;left:4767;top:6129;height:700;width:277;rotation:5898240f;" filled="f" stroked="t" coordsize="21600,21600" o:gfxdata="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8pRH70AAADbAAAADwAAAAAAAAABACAAAAA4AAAAZHJzL2Rvd25yZXYu&#10;eG1sUEsBAhQAFAAAAAgAh07iQDMvBZ47AAAAOQAAABAAAAAAAAAAAQAgAAAAIgEAAGRycy9zaGFw&#10;ZXhtbC54bWxQSwUGAAAAAAYABgBbAQAAzAMAAAAA&#10;" adj="10761">
                  <v:fill on="f" focussize="0,0"/>
                  <v:stroke color="#000000" miterlimit="2" joinstyle="miter" endarrow="block" endarrowwidth="narrow" endarrowlength="short"/>
                  <v:imagedata o:title=""/>
                  <o:lock v:ext="edit" aspectratio="f"/>
                </v:shape>
                <v:shape id="AutoShape 36" o:spid="_x0000_s1026" o:spt="34" type="#_x0000_t34" style="position:absolute;left:4083;top:5445;height:2068;width:277;rotation:5898240f;" filled="f" stroked="t" coordsize="21600,21600" o:gfxdata="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CPJa70AAADbAAAADwAAAAAAAAABACAAAAA4AAAAZHJzL2Rvd25yZXYu&#10;eG1sUEsBAhQAFAAAAAgAh07iQDMvBZ47AAAAOQAAABAAAAAAAAAAAQAgAAAAIgEAAGRycy9zaGFw&#10;ZXhtbC54bWxQSwUGAAAAAAYABgBbAQAAzAMAAAAA&#10;" adj="10761">
                  <v:fill on="f" focussize="0,0"/>
                  <v:stroke color="#000000" miterlimit="2" joinstyle="miter" endarrow="block" endarrowwidth="narrow" endarrowlength="short"/>
                  <v:imagedata o:title=""/>
                  <o:lock v:ext="edit" aspectratio="f"/>
                </v:shape>
                <v:shape id="AutoShape 37" o:spid="_x0000_s1026" o:spt="34" type="#_x0000_t34" style="position:absolute;left:5712;top:8175;flip:x;height:1187;width:314;rotation:5898240f;" filled="f" stroked="t" coordsize="21600,21600" o:gfxdata="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XjUjqroAAADbAAAADwAAAAAAAAABACAAAAA4AAAAZHJzL2Rvd25yZXYueG1s&#10;UEsBAhQAFAAAAAgAh07iQDMvBZ47AAAAOQAAABAAAAAAAAAAAQAgAAAAHwEAAGRycy9zaGFwZXht&#10;bC54bWxQSwUGAAAAAAYABgBbAQAAyQMAAAAA&#10;" adj="10731">
                  <v:fill on="f" focussize="0,0"/>
                  <v:stroke color="#000000" miterlimit="2" joinstyle="miter" endarrow="block" endarrowwidth="narrow" endarrowlength="short"/>
                  <v:imagedata o:title=""/>
                  <o:lock v:ext="edit" aspectratio="f"/>
                </v:shape>
                <v:shape id="AutoShape 38" o:spid="_x0000_s1026" o:spt="34" type="#_x0000_t34" style="position:absolute;left:4515;top:8165;height:1207;width:314;rotation:5898240f;" filled="f" stroked="t" coordsize="21600,21600" o:gfxdata="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mDoie7AAAA2wAAAA8AAAAAAAAAAQAgAAAAOAAAAGRycy9kb3ducmV2Lnht&#10;bFBLAQIUABQAAAAIAIdO4kAzLwWeOwAAADkAAAAQAAAAAAAAAAEAIAAAACABAABkcnMvc2hhcGV4&#10;bWwueG1sUEsFBgAAAAAGAAYAWwEAAMoDAAAAAA==&#10;" adj="10731">
                  <v:fill on="f" focussize="0,0"/>
                  <v:stroke color="#000000" miterlimit="2" joinstyle="miter" endarrow="block" endarrowwidth="narrow" endarrowlength="short"/>
                  <v:imagedata o:title=""/>
                  <o:lock v:ext="edit" aspectratio="f"/>
                </v:shape>
                <v:rect id="Rectangle 39" o:spid="_x0000_s1026" o:spt="1" style="position:absolute;left:7028;top:6627;height:413;width:1069;" fillcolor="#FFFFFF" filled="t" stroked="t" coordsize="21600,21600" o:gfxdata="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Ti+970AAADbAAAADwAAAAAAAAABACAAAAA4AAAAZHJzL2Rvd25yZXYu&#10;eG1sUEsBAhQAFAAAAAgAh07iQDMvBZ47AAAAOQAAABAAAAAAAAAAAQAgAAAAIgEAAGRycy9zaGFw&#10;ZXhtbC54bWxQSwUGAAAAAAYABgBbAQAAzAMAAAAA&#10;">
                  <v:fill on="t" focussize="0,0"/>
                  <v:stroke weight="0.5pt" color="#000000" miterlimit="2" joinstyle="miter"/>
                  <v:imagedata o:title=""/>
                  <o:lock v:ext="edit" aspectratio="f"/>
                  <v:textbox>
                    <w:txbxContent>
                      <w:p>
                        <w:pPr>
                          <w:snapToGrid w:val="0"/>
                          <w:spacing w:line="240" w:lineRule="auto"/>
                          <w:jc w:val="center"/>
                          <w:rPr>
                            <w:rFonts w:ascii="宋体" w:hAnsi="宋体"/>
                            <w:sz w:val="18"/>
                            <w:szCs w:val="18"/>
                          </w:rPr>
                        </w:pPr>
                        <w:r>
                          <w:rPr>
                            <w:rFonts w:hint="eastAsia" w:ascii="宋体" w:hAnsi="宋体"/>
                            <w:sz w:val="18"/>
                            <w:szCs w:val="18"/>
                          </w:rPr>
                          <w:t>供需分析</w:t>
                        </w:r>
                      </w:p>
                    </w:txbxContent>
                  </v:textbox>
                </v:rect>
                <v:shape id="AutoShape 40" o:spid="_x0000_s1026" o:spt="34" type="#_x0000_t34" style="position:absolute;left:6176;top:5434;flip:x;height:2106;width:280;rotation:5898240f;" filled="f" stroked="t" coordsize="21600,21600" o:gfxdata="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AcLbyvtgAAANsAAAAPAAAAAAAAAAEAIAAAADgAAABkcnMvZG93bnJldi54bWxQSwEC&#10;FAAUAAAACACHTuJAMy8FnjsAAAA5AAAAEAAAAAAAAAABACAAAAAbAQAAZHJzL3NoYXBleG1sLnht&#10;bFBLBQYAAAAABgAGAFsBAADFAwAAAAA=&#10;" adj="10723">
                  <v:fill on="f" focussize="0,0"/>
                  <v:stroke color="#000000" miterlimit="2" joinstyle="miter" endarrow="block" endarrowwidth="narrow" endarrowlength="short"/>
                  <v:imagedata o:title=""/>
                  <o:lock v:ext="edit" aspectratio="f"/>
                </v:shape>
                <w10:wrap type="none"/>
                <w10:anchorlock/>
              </v:group>
            </w:pict>
          </mc:Fallback>
        </mc:AlternateContent>
      </w:r>
    </w:p>
    <w:p>
      <w:pPr>
        <w:ind w:right="420" w:firstLine="562"/>
        <w:jc w:val="center"/>
        <w:rPr>
          <w:rFonts w:asciiTheme="majorEastAsia" w:hAnsiTheme="majorEastAsia" w:eastAsiaTheme="majorEastAsia"/>
          <w:b/>
          <w:bCs/>
          <w:sz w:val="24"/>
        </w:rPr>
      </w:pPr>
      <w:r>
        <w:rPr>
          <w:rFonts w:asciiTheme="majorEastAsia" w:hAnsiTheme="majorEastAsia" w:eastAsiaTheme="majorEastAsia"/>
          <w:b/>
          <w:bCs/>
          <w:sz w:val="24"/>
        </w:rPr>
        <w:t>图1-1 研究思路示意图</w:t>
      </w:r>
    </w:p>
    <w:p>
      <w:pPr>
        <w:pStyle w:val="4"/>
        <w:rPr>
          <w:rFonts w:asciiTheme="majorEastAsia" w:hAnsiTheme="majorEastAsia" w:eastAsiaTheme="majorEastAsia"/>
        </w:rPr>
      </w:pPr>
      <w:bookmarkStart w:id="64" w:name="_Toc81406363"/>
      <w:bookmarkStart w:id="65" w:name="_Toc89102158"/>
      <w:bookmarkStart w:id="66" w:name="_Toc82161434"/>
      <w:bookmarkStart w:id="67" w:name="_Toc66179101"/>
      <w:bookmarkStart w:id="68" w:name="_Toc66367216"/>
      <w:bookmarkStart w:id="69" w:name="_Toc66367303"/>
      <w:bookmarkStart w:id="70" w:name="_Toc76993376"/>
      <w:bookmarkStart w:id="71" w:name="_Toc63600975"/>
      <w:bookmarkStart w:id="72" w:name="_Toc73625935"/>
      <w:bookmarkStart w:id="73" w:name="_Toc72513411"/>
      <w:bookmarkStart w:id="74" w:name="_Toc58318714"/>
      <w:bookmarkStart w:id="75" w:name="_Toc72777959"/>
      <w:bookmarkStart w:id="76" w:name="_Toc75518108"/>
      <w:bookmarkStart w:id="77" w:name="_Toc78550978"/>
      <w:bookmarkStart w:id="78" w:name="_Toc76490199"/>
      <w:bookmarkStart w:id="79" w:name="_Toc66367585"/>
      <w:bookmarkStart w:id="80" w:name="_Toc76994453"/>
      <w:bookmarkStart w:id="81" w:name="_Toc78556398"/>
      <w:bookmarkStart w:id="82" w:name="_Toc76994069"/>
      <w:bookmarkStart w:id="83" w:name="_Toc66367390"/>
      <w:bookmarkStart w:id="84" w:name="_Toc78813452"/>
      <w:bookmarkStart w:id="85" w:name="_Toc56264669"/>
      <w:bookmarkStart w:id="86" w:name="_Toc79048534"/>
      <w:bookmarkStart w:id="87" w:name="_Toc80103489"/>
      <w:bookmarkStart w:id="88" w:name="_Toc79923749"/>
      <w:bookmarkStart w:id="89" w:name="_Toc78374949"/>
      <w:bookmarkStart w:id="90" w:name="_Toc80715939"/>
      <w:r>
        <w:rPr>
          <w:rFonts w:asciiTheme="majorEastAsia" w:hAnsiTheme="majorEastAsia" w:eastAsiaTheme="majorEastAsia"/>
        </w:rPr>
        <w:t>1.2.3工作方式</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pPr>
        <w:ind w:firstLine="562" w:firstLineChars="200"/>
        <w:rPr>
          <w:rFonts w:asciiTheme="majorEastAsia" w:hAnsiTheme="majorEastAsia" w:eastAsiaTheme="majorEastAsia"/>
          <w:szCs w:val="28"/>
        </w:rPr>
      </w:pPr>
      <w:r>
        <w:rPr>
          <w:rFonts w:asciiTheme="majorEastAsia" w:hAnsiTheme="majorEastAsia" w:eastAsiaTheme="majorEastAsia"/>
          <w:b/>
          <w:bCs/>
          <w:szCs w:val="28"/>
        </w:rPr>
        <w:t>1．密切关注宏观战略和政策走向</w:t>
      </w:r>
      <w:r>
        <w:rPr>
          <w:rFonts w:asciiTheme="majorEastAsia" w:hAnsiTheme="majorEastAsia" w:eastAsiaTheme="majorEastAsia"/>
          <w:szCs w:val="28"/>
        </w:rPr>
        <w:t>。规划中多方参考国家、省权威研究机构的研究成果，并密切跟踪国家、省相关部门的政策动向，认真研判宏观形势对交通基础设施发展的影响。紧扣交通强国建设、长江经济带发展、乡村振兴、</w:t>
      </w:r>
      <w:r>
        <w:rPr>
          <w:rFonts w:hint="eastAsia" w:asciiTheme="majorEastAsia" w:hAnsiTheme="majorEastAsia" w:eastAsiaTheme="majorEastAsia"/>
          <w:szCs w:val="28"/>
        </w:rPr>
        <w:t>新型城镇化</w:t>
      </w:r>
      <w:r>
        <w:rPr>
          <w:rFonts w:asciiTheme="majorEastAsia" w:hAnsiTheme="majorEastAsia" w:eastAsiaTheme="majorEastAsia"/>
          <w:szCs w:val="28"/>
        </w:rPr>
        <w:t>等重大战略部署，结合</w:t>
      </w:r>
      <w:r>
        <w:rPr>
          <w:rFonts w:hint="eastAsia" w:asciiTheme="majorEastAsia" w:hAnsiTheme="majorEastAsia" w:eastAsiaTheme="majorEastAsia"/>
          <w:szCs w:val="28"/>
        </w:rPr>
        <w:t>六盘水市</w:t>
      </w:r>
      <w:r>
        <w:rPr>
          <w:rFonts w:asciiTheme="majorEastAsia" w:hAnsiTheme="majorEastAsia" w:eastAsiaTheme="majorEastAsia"/>
          <w:szCs w:val="28"/>
        </w:rPr>
        <w:t>交通建设发展实际，准确定位，谋划发展目标、重点任务和政策措施。</w:t>
      </w:r>
    </w:p>
    <w:p>
      <w:pPr>
        <w:ind w:firstLine="562" w:firstLineChars="200"/>
        <w:rPr>
          <w:rFonts w:asciiTheme="majorEastAsia" w:hAnsiTheme="majorEastAsia" w:eastAsiaTheme="majorEastAsia"/>
          <w:szCs w:val="28"/>
        </w:rPr>
      </w:pPr>
      <w:r>
        <w:rPr>
          <w:rFonts w:asciiTheme="majorEastAsia" w:hAnsiTheme="majorEastAsia" w:eastAsiaTheme="majorEastAsia"/>
          <w:b/>
          <w:bCs/>
          <w:szCs w:val="28"/>
        </w:rPr>
        <w:t>2．建立开放的研究机制</w:t>
      </w:r>
      <w:r>
        <w:rPr>
          <w:rFonts w:asciiTheme="majorEastAsia" w:hAnsiTheme="majorEastAsia" w:eastAsiaTheme="majorEastAsia"/>
          <w:szCs w:val="28"/>
        </w:rPr>
        <w:t>。</w:t>
      </w:r>
      <w:r>
        <w:rPr>
          <w:rFonts w:hint="eastAsia" w:asciiTheme="majorEastAsia" w:hAnsiTheme="majorEastAsia" w:eastAsiaTheme="majorEastAsia"/>
          <w:szCs w:val="28"/>
        </w:rPr>
        <w:t>规划中充分征求相关部门，市、特区、区交通主管部门的意见和建议，并就重点难点问题与多方进行座谈讨论，充分听取专家意见，确保提出的建设目标和重点符合六盘水市实际，具有针对性和可操作性</w:t>
      </w:r>
      <w:r>
        <w:rPr>
          <w:rFonts w:asciiTheme="majorEastAsia" w:hAnsiTheme="majorEastAsia" w:eastAsiaTheme="majorEastAsia"/>
          <w:szCs w:val="28"/>
        </w:rPr>
        <w:t>。</w:t>
      </w:r>
    </w:p>
    <w:p>
      <w:pPr>
        <w:ind w:firstLine="562" w:firstLineChars="200"/>
        <w:rPr>
          <w:rFonts w:asciiTheme="majorEastAsia" w:hAnsiTheme="majorEastAsia" w:eastAsiaTheme="majorEastAsia"/>
          <w:szCs w:val="28"/>
        </w:rPr>
      </w:pPr>
      <w:r>
        <w:rPr>
          <w:rFonts w:asciiTheme="majorEastAsia" w:hAnsiTheme="majorEastAsia" w:eastAsiaTheme="majorEastAsia"/>
          <w:b/>
          <w:bCs/>
          <w:szCs w:val="28"/>
        </w:rPr>
        <w:t>3．加强与相关规划间的衔接协调</w:t>
      </w:r>
      <w:r>
        <w:rPr>
          <w:rFonts w:asciiTheme="majorEastAsia" w:hAnsiTheme="majorEastAsia" w:eastAsiaTheme="majorEastAsia"/>
          <w:szCs w:val="28"/>
        </w:rPr>
        <w:t>。</w:t>
      </w:r>
      <w:r>
        <w:rPr>
          <w:rFonts w:hint="eastAsia" w:asciiTheme="majorEastAsia" w:hAnsiTheme="majorEastAsia" w:eastAsiaTheme="majorEastAsia"/>
          <w:szCs w:val="28"/>
        </w:rPr>
        <w:t>做好与交通运输发展规划、六盘水市国民经济和社会发展“十四五”规划等相关规划及交通强国相关研究的衔接</w:t>
      </w:r>
      <w:r>
        <w:rPr>
          <w:rFonts w:asciiTheme="majorEastAsia" w:hAnsiTheme="majorEastAsia" w:eastAsiaTheme="majorEastAsia"/>
          <w:szCs w:val="28"/>
        </w:rPr>
        <w:t>。</w:t>
      </w:r>
    </w:p>
    <w:p>
      <w:pPr>
        <w:ind w:firstLine="562" w:firstLineChars="200"/>
        <w:rPr>
          <w:rFonts w:asciiTheme="majorEastAsia" w:hAnsiTheme="majorEastAsia" w:eastAsiaTheme="majorEastAsia"/>
        </w:rPr>
      </w:pPr>
      <w:r>
        <w:rPr>
          <w:rFonts w:asciiTheme="majorEastAsia" w:hAnsiTheme="majorEastAsia" w:eastAsiaTheme="majorEastAsia"/>
          <w:b/>
          <w:bCs/>
          <w:szCs w:val="28"/>
        </w:rPr>
        <w:t>4．定量和定性分析相结合</w:t>
      </w:r>
      <w:r>
        <w:rPr>
          <w:rFonts w:asciiTheme="majorEastAsia" w:hAnsiTheme="majorEastAsia" w:eastAsiaTheme="majorEastAsia"/>
          <w:szCs w:val="28"/>
        </w:rPr>
        <w:t>。</w:t>
      </w:r>
      <w:r>
        <w:rPr>
          <w:rFonts w:hint="eastAsia" w:asciiTheme="majorEastAsia" w:hAnsiTheme="majorEastAsia" w:eastAsiaTheme="majorEastAsia"/>
          <w:szCs w:val="28"/>
        </w:rPr>
        <w:t>通过定量定性相结合的方式，多方位、多层次地系统分析评价六盘水市交通基础设施现状发展水平。在规划目标描述中，总体目标以定性描述为主，具体目标以定量指标为主。</w:t>
      </w:r>
    </w:p>
    <w:bookmarkEnd w:id="4"/>
    <w:p>
      <w:pPr>
        <w:rPr>
          <w:rFonts w:asciiTheme="majorEastAsia" w:hAnsiTheme="majorEastAsia" w:eastAsiaTheme="majorEastAsia"/>
          <w:szCs w:val="28"/>
        </w:rPr>
      </w:pPr>
    </w:p>
    <w:p>
      <w:pPr>
        <w:rPr>
          <w:rFonts w:asciiTheme="majorEastAsia" w:hAnsiTheme="majorEastAsia" w:eastAsiaTheme="majorEastAsia"/>
          <w:szCs w:val="28"/>
        </w:rPr>
      </w:pPr>
    </w:p>
    <w:p>
      <w:pPr>
        <w:rPr>
          <w:rFonts w:asciiTheme="majorEastAsia" w:hAnsiTheme="majorEastAsia" w:eastAsiaTheme="majorEastAsia"/>
          <w:szCs w:val="28"/>
        </w:rPr>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pPr>
    </w:p>
    <w:p>
      <w:pPr>
        <w:pStyle w:val="2"/>
        <w:jc w:val="both"/>
        <w:rPr>
          <w:rFonts w:asciiTheme="majorEastAsia" w:hAnsiTheme="majorEastAsia" w:eastAsiaTheme="majorEastAsia"/>
        </w:rPr>
      </w:pPr>
      <w:bookmarkStart w:id="91" w:name="_Toc89102159"/>
      <w:bookmarkStart w:id="92" w:name="_Toc51756511"/>
      <w:r>
        <w:rPr>
          <w:rFonts w:asciiTheme="majorEastAsia" w:hAnsiTheme="majorEastAsia" w:eastAsiaTheme="majorEastAsia"/>
        </w:rPr>
        <w:t>第二章 “十三五”期交通运输发展评价</w:t>
      </w:r>
      <w:bookmarkEnd w:id="91"/>
      <w:bookmarkEnd w:id="92"/>
    </w:p>
    <w:p>
      <w:pPr>
        <w:pStyle w:val="3"/>
        <w:rPr>
          <w:rFonts w:asciiTheme="majorEastAsia" w:hAnsiTheme="majorEastAsia" w:eastAsiaTheme="majorEastAsia"/>
        </w:rPr>
      </w:pPr>
      <w:bookmarkStart w:id="93" w:name="_Toc89102160"/>
      <w:bookmarkStart w:id="94" w:name="_Toc51756512"/>
      <w:r>
        <w:rPr>
          <w:rFonts w:asciiTheme="majorEastAsia" w:hAnsiTheme="majorEastAsia" w:eastAsiaTheme="majorEastAsia"/>
        </w:rPr>
        <w:t>2.1 发展成就与经验总结</w:t>
      </w:r>
      <w:bookmarkEnd w:id="93"/>
      <w:bookmarkEnd w:id="94"/>
    </w:p>
    <w:p>
      <w:pPr>
        <w:pStyle w:val="4"/>
        <w:rPr>
          <w:rFonts w:asciiTheme="majorEastAsia" w:hAnsiTheme="majorEastAsia" w:eastAsiaTheme="majorEastAsia"/>
        </w:rPr>
      </w:pPr>
      <w:bookmarkStart w:id="95" w:name="_Toc78374952"/>
      <w:bookmarkStart w:id="96" w:name="_Toc80715942"/>
      <w:bookmarkStart w:id="97" w:name="_Toc76994072"/>
      <w:bookmarkStart w:id="98" w:name="_Toc66367393"/>
      <w:bookmarkStart w:id="99" w:name="_Toc75518111"/>
      <w:bookmarkStart w:id="100" w:name="_Toc66179104"/>
      <w:bookmarkStart w:id="101" w:name="_Toc63600978"/>
      <w:bookmarkStart w:id="102" w:name="_Toc72777962"/>
      <w:bookmarkStart w:id="103" w:name="_Toc72513414"/>
      <w:bookmarkStart w:id="104" w:name="_Toc78813455"/>
      <w:bookmarkStart w:id="105" w:name="_Toc73625938"/>
      <w:bookmarkStart w:id="106" w:name="_Toc58318717"/>
      <w:bookmarkStart w:id="107" w:name="_Toc56264672"/>
      <w:bookmarkStart w:id="108" w:name="_Toc79048537"/>
      <w:bookmarkStart w:id="109" w:name="_Toc89102161"/>
      <w:bookmarkStart w:id="110" w:name="_Toc81406366"/>
      <w:bookmarkStart w:id="111" w:name="_Toc78550981"/>
      <w:bookmarkStart w:id="112" w:name="_Toc76490202"/>
      <w:bookmarkStart w:id="113" w:name="_Toc82161437"/>
      <w:bookmarkStart w:id="114" w:name="_Toc79923752"/>
      <w:bookmarkStart w:id="115" w:name="_Toc76993379"/>
      <w:bookmarkStart w:id="116" w:name="_Toc66367588"/>
      <w:bookmarkStart w:id="117" w:name="_Toc80103492"/>
      <w:bookmarkStart w:id="118" w:name="_Toc78556401"/>
      <w:bookmarkStart w:id="119" w:name="_Toc76994456"/>
      <w:bookmarkStart w:id="120" w:name="_Toc66367306"/>
      <w:bookmarkStart w:id="121" w:name="_Toc66367219"/>
      <w:bookmarkStart w:id="122" w:name="_Hlk69289943"/>
      <w:r>
        <w:rPr>
          <w:rFonts w:asciiTheme="majorEastAsia" w:hAnsiTheme="majorEastAsia" w:eastAsiaTheme="majorEastAsia"/>
        </w:rPr>
        <w:t>2.1.1发展成就</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pPr>
        <w:pStyle w:val="5"/>
        <w:rPr>
          <w:rFonts w:ascii="Times New Roman" w:hAnsi="Times New Roman" w:eastAsia="宋体" w:cs="Times New Roman"/>
          <w:b w:val="0"/>
          <w:bCs w:val="0"/>
          <w:szCs w:val="24"/>
        </w:rPr>
      </w:pPr>
      <w:r>
        <w:rPr>
          <w:rFonts w:hint="eastAsia" w:cs="Times New Roman" w:asciiTheme="majorEastAsia" w:hAnsiTheme="majorEastAsia"/>
        </w:rPr>
        <w:t>2</w:t>
      </w:r>
      <w:r>
        <w:rPr>
          <w:rFonts w:cs="Times New Roman" w:asciiTheme="majorEastAsia" w:hAnsiTheme="majorEastAsia"/>
        </w:rPr>
        <w:t>.1.1.1</w:t>
      </w:r>
      <w:r>
        <w:rPr>
          <w:rFonts w:hint="eastAsia" w:cs="Times New Roman" w:asciiTheme="majorEastAsia" w:hAnsiTheme="majorEastAsia"/>
        </w:rPr>
        <w:t>交通精准发力助推脱贫攻坚</w:t>
      </w:r>
      <w:r>
        <w:rPr>
          <w:rFonts w:hint="eastAsia" w:ascii="Times New Roman" w:hAnsi="Times New Roman" w:eastAsia="宋体" w:cs="Times New Roman"/>
          <w:b w:val="0"/>
          <w:bCs w:val="0"/>
          <w:szCs w:val="24"/>
        </w:rPr>
        <w:t xml:space="preserve"> </w:t>
      </w:r>
    </w:p>
    <w:p>
      <w:pPr>
        <w:ind w:firstLine="562" w:firstLineChars="200"/>
      </w:pPr>
      <w:r>
        <w:rPr>
          <w:rFonts w:hint="eastAsia"/>
          <w:b/>
          <w:bCs/>
        </w:rPr>
        <w:t>交通建设助推贫困村、贫困户脱贫奔康。</w:t>
      </w:r>
      <w:r>
        <w:rPr>
          <w:rFonts w:hint="eastAsia"/>
        </w:rPr>
        <w:t>组组通建设圆满完成。全市共建成“组组通”公路6434公里，沟通</w:t>
      </w:r>
      <w:r>
        <w:t>2979</w:t>
      </w:r>
      <w:r>
        <w:rPr>
          <w:rFonts w:hint="eastAsia"/>
        </w:rPr>
        <w:t>个30户以上村民组，实现了30户以上村民组100%通畅，荣获全省农村“组组通”硬化路三年大决战先进集体，打通人民群众出行</w:t>
      </w:r>
      <w:bookmarkStart w:id="1015" w:name="_GoBack"/>
      <w:bookmarkEnd w:id="1015"/>
      <w:r>
        <w:rPr>
          <w:rFonts w:hint="eastAsia"/>
          <w:lang w:eastAsia="zh-CN"/>
        </w:rPr>
        <w:t>“最后一公里”</w:t>
      </w:r>
      <w:r>
        <w:rPr>
          <w:rFonts w:hint="eastAsia"/>
        </w:rPr>
        <w:t>，“交通建设+扶贫”“交通养护+扶贫”取得实效。通过政府购买公共服务、农村公路沿线群众承包养护的市场化养护模式，</w:t>
      </w:r>
      <w:r>
        <w:rPr>
          <w:rFonts w:ascii="Times" w:hAnsi="Times" w:cs="Times" w:eastAsiaTheme="majorEastAsia"/>
          <w:kern w:val="0"/>
          <w:szCs w:val="28"/>
          <w:lang w:bidi="ar"/>
        </w:rPr>
        <w:t>2020</w:t>
      </w:r>
      <w:r>
        <w:rPr>
          <w:rFonts w:hint="eastAsia" w:cs="FangSong_GB2312" w:asciiTheme="majorEastAsia" w:hAnsiTheme="majorEastAsia" w:eastAsiaTheme="majorEastAsia"/>
          <w:kern w:val="0"/>
          <w:szCs w:val="28"/>
          <w:lang w:bidi="ar"/>
        </w:rPr>
        <w:t>年，在全市范围内推广农村公路养护扶贫工作，全市共投入农村公路养护扶贫资金约</w:t>
      </w:r>
      <w:r>
        <w:rPr>
          <w:rFonts w:ascii="Times" w:hAnsi="Times" w:cs="Times" w:eastAsiaTheme="majorEastAsia"/>
          <w:kern w:val="0"/>
          <w:szCs w:val="28"/>
          <w:lang w:bidi="ar"/>
        </w:rPr>
        <w:t>2447.5</w:t>
      </w:r>
      <w:r>
        <w:rPr>
          <w:rFonts w:hint="eastAsia" w:cs="FangSong_GB2312" w:asciiTheme="majorEastAsia" w:hAnsiTheme="majorEastAsia" w:eastAsiaTheme="majorEastAsia"/>
          <w:kern w:val="0"/>
          <w:szCs w:val="28"/>
          <w:lang w:bidi="ar"/>
        </w:rPr>
        <w:t>万元，提供农村公路养护岗位</w:t>
      </w:r>
      <w:r>
        <w:rPr>
          <w:rFonts w:ascii="Times" w:hAnsi="Times" w:cs="Times" w:eastAsiaTheme="majorEastAsia"/>
          <w:kern w:val="0"/>
          <w:szCs w:val="28"/>
          <w:lang w:bidi="ar"/>
        </w:rPr>
        <w:t>2370</w:t>
      </w:r>
      <w:r>
        <w:rPr>
          <w:rFonts w:hint="eastAsia" w:cs="FangSong_GB2312" w:asciiTheme="majorEastAsia" w:hAnsiTheme="majorEastAsia" w:eastAsiaTheme="majorEastAsia"/>
          <w:kern w:val="0"/>
          <w:szCs w:val="28"/>
          <w:lang w:bidi="ar"/>
        </w:rPr>
        <w:t>个（其中建档立卡贫困户</w:t>
      </w:r>
      <w:r>
        <w:rPr>
          <w:rFonts w:ascii="Times" w:hAnsi="Times" w:cs="Times" w:eastAsiaTheme="majorEastAsia"/>
          <w:kern w:val="0"/>
          <w:szCs w:val="28"/>
          <w:lang w:bidi="ar"/>
        </w:rPr>
        <w:t>1766</w:t>
      </w:r>
      <w:r>
        <w:rPr>
          <w:rFonts w:hint="eastAsia" w:cs="FangSong_GB2312" w:asciiTheme="majorEastAsia" w:hAnsiTheme="majorEastAsia" w:eastAsiaTheme="majorEastAsia"/>
          <w:kern w:val="0"/>
          <w:szCs w:val="28"/>
          <w:lang w:bidi="ar"/>
        </w:rPr>
        <w:t>人），人年均增收</w:t>
      </w:r>
      <w:r>
        <w:rPr>
          <w:rFonts w:ascii="Times" w:hAnsi="Times" w:cs="Times" w:eastAsiaTheme="majorEastAsia"/>
          <w:kern w:val="0"/>
          <w:szCs w:val="28"/>
          <w:lang w:bidi="ar"/>
        </w:rPr>
        <w:t>10327</w:t>
      </w:r>
      <w:r>
        <w:rPr>
          <w:rFonts w:hint="eastAsia" w:cs="FangSong_GB2312" w:asciiTheme="majorEastAsia" w:hAnsiTheme="majorEastAsia" w:eastAsiaTheme="majorEastAsia"/>
          <w:kern w:val="0"/>
          <w:szCs w:val="28"/>
          <w:lang w:bidi="ar"/>
        </w:rPr>
        <w:t>元。</w:t>
      </w:r>
      <w:r>
        <w:rPr>
          <w:rFonts w:hint="eastAsia"/>
        </w:rPr>
        <w:t>经过五年合力攻坚，3个国家级贫困县全部“摘帽”，615个贫困村全部出列，累计实现43.98万贫困人口脱贫，全市提前一年整体摆脱绝对贫困，书写了贵州脱贫攻坚的六盘水精彩篇章！</w:t>
      </w:r>
    </w:p>
    <w:p>
      <w:pPr>
        <w:ind w:firstLine="562" w:firstLineChars="200"/>
      </w:pPr>
      <w:r>
        <w:rPr>
          <w:rFonts w:hint="eastAsia"/>
          <w:b/>
          <w:bCs/>
        </w:rPr>
        <w:t>交通建设助推产业发展。</w:t>
      </w:r>
      <w:r>
        <w:rPr>
          <w:rFonts w:hint="eastAsia"/>
        </w:rPr>
        <w:t>“十三五”六盘水着力打造带动发展的产业路。推进农村公路与普通国省道、高速公路、港口的顺畅衔接，创新“农村公路+特色产业”“农村公路+电商”“农村公路+物流”“农村公路+全域旅游”等新模式，真正实现“一路通、百业兴”，产业扶贫实现贫困人口全覆盖。截至目前，全市建成沪昆高速公路境内段、六盘水至威宁、盘州至兴义等8条高速公路，通车里程达440公里，形成“三横一纵一环”的高速公路主骨架网络，有效将胜境温泉、哒啦仙谷、乌蒙大草原、迴龙溪、野玉海等重要景区景点串联起来，助力黔货出山，助力农村产业发展。同时，农村公路的建设也带动了沿线旅游景区发展，月照养生谷景区到大河镇大河堡景区公路、雨格至普古农村公路等，均按照“一路一景、路景相融、处处是景”的思路，积极打造绿色舒适的生态路。推动农村公路与六盘水特有的山水风光、人文风情有机融合，让农村公路“颜值”更高、“气质”更佳。</w:t>
      </w:r>
    </w:p>
    <w:p>
      <w:pPr>
        <w:pStyle w:val="5"/>
        <w:rPr>
          <w:rFonts w:cs="Times New Roman" w:asciiTheme="majorEastAsia" w:hAnsiTheme="majorEastAsia"/>
        </w:rPr>
      </w:pPr>
      <w:r>
        <w:rPr>
          <w:rFonts w:hint="eastAsia" w:cs="Times New Roman" w:asciiTheme="majorEastAsia" w:hAnsiTheme="majorEastAsia"/>
        </w:rPr>
        <w:t>2.1.1.</w:t>
      </w:r>
      <w:r>
        <w:rPr>
          <w:rFonts w:cs="Times New Roman" w:asciiTheme="majorEastAsia" w:hAnsiTheme="majorEastAsia"/>
        </w:rPr>
        <w:t>2</w:t>
      </w:r>
      <w:r>
        <w:rPr>
          <w:rFonts w:hint="eastAsia" w:cs="Times New Roman" w:asciiTheme="majorEastAsia" w:hAnsiTheme="majorEastAsia"/>
        </w:rPr>
        <w:t>交通基础设施投融资持续高位运行</w:t>
      </w:r>
    </w:p>
    <w:p>
      <w:pPr>
        <w:widowControl/>
        <w:spacing w:line="240" w:lineRule="auto"/>
        <w:ind w:firstLine="567"/>
        <w:rPr>
          <w:rFonts w:asciiTheme="majorEastAsia" w:hAnsiTheme="majorEastAsia" w:eastAsiaTheme="majorEastAsia"/>
          <w:szCs w:val="28"/>
        </w:rPr>
      </w:pPr>
      <w:bookmarkStart w:id="123" w:name="_Hlk56257507"/>
      <w:r>
        <w:rPr>
          <w:rFonts w:hint="eastAsia" w:asciiTheme="majorEastAsia" w:hAnsiTheme="majorEastAsia" w:eastAsiaTheme="majorEastAsia"/>
          <w:szCs w:val="28"/>
        </w:rPr>
        <w:t>“十三五”时期</w:t>
      </w:r>
      <w:bookmarkEnd w:id="123"/>
      <w:r>
        <w:rPr>
          <w:rFonts w:hint="eastAsia" w:asciiTheme="majorEastAsia" w:hAnsiTheme="majorEastAsia" w:eastAsiaTheme="majorEastAsia"/>
          <w:szCs w:val="28"/>
        </w:rPr>
        <w:t>坚持稳中有进，着力资金筹措，交通经济运行有新突破。“十三五”以来，全市共完成公路水路固定资产投资</w:t>
      </w:r>
      <w:r>
        <w:rPr>
          <w:rFonts w:asciiTheme="majorEastAsia" w:hAnsiTheme="majorEastAsia" w:eastAsiaTheme="majorEastAsia"/>
          <w:szCs w:val="28"/>
        </w:rPr>
        <w:t>589.1</w:t>
      </w:r>
      <w:r>
        <w:rPr>
          <w:rFonts w:hint="eastAsia" w:asciiTheme="majorEastAsia" w:hAnsiTheme="majorEastAsia" w:eastAsiaTheme="majorEastAsia"/>
          <w:szCs w:val="28"/>
        </w:rPr>
        <w:t>亿元，较“十二五”期间公路水路固定资产投资457亿元超出</w:t>
      </w:r>
      <w:r>
        <w:rPr>
          <w:rFonts w:asciiTheme="majorEastAsia" w:hAnsiTheme="majorEastAsia" w:eastAsiaTheme="majorEastAsia"/>
          <w:szCs w:val="28"/>
        </w:rPr>
        <w:t>28.91</w:t>
      </w:r>
      <w:r>
        <w:rPr>
          <w:rFonts w:hint="eastAsia" w:asciiTheme="majorEastAsia" w:hAnsiTheme="majorEastAsia" w:eastAsiaTheme="majorEastAsia"/>
          <w:szCs w:val="28"/>
        </w:rPr>
        <w:t>个百分点，其中高速公路</w:t>
      </w:r>
      <w:r>
        <w:rPr>
          <w:rFonts w:hint="eastAsia" w:cs="FangSong_GB2312" w:asciiTheme="majorEastAsia" w:hAnsiTheme="majorEastAsia" w:eastAsiaTheme="majorEastAsia"/>
          <w:szCs w:val="28"/>
        </w:rPr>
        <w:t>190.5亿元，区域干线公路投资</w:t>
      </w:r>
      <w:r>
        <w:rPr>
          <w:rFonts w:cs="FangSong_GB2312" w:asciiTheme="majorEastAsia" w:hAnsiTheme="majorEastAsia" w:eastAsiaTheme="majorEastAsia"/>
          <w:szCs w:val="28"/>
        </w:rPr>
        <w:t>89.1</w:t>
      </w:r>
      <w:r>
        <w:rPr>
          <w:rFonts w:hint="eastAsia" w:cs="FangSong_GB2312" w:asciiTheme="majorEastAsia" w:hAnsiTheme="majorEastAsia" w:eastAsiaTheme="majorEastAsia"/>
          <w:szCs w:val="28"/>
        </w:rPr>
        <w:t>亿元，普通国省道投资约68.2亿元，农村公路投资125.5亿元，客运场站投资10.3亿元，水运项目投资2亿元，乡镇通二级公路投资4</w:t>
      </w:r>
      <w:r>
        <w:rPr>
          <w:rFonts w:cs="FangSong_GB2312" w:asciiTheme="majorEastAsia" w:hAnsiTheme="majorEastAsia" w:eastAsiaTheme="majorEastAsia"/>
          <w:szCs w:val="28"/>
        </w:rPr>
        <w:t>3.6</w:t>
      </w:r>
      <w:r>
        <w:rPr>
          <w:rFonts w:hint="eastAsia" w:cs="FangSong_GB2312" w:asciiTheme="majorEastAsia" w:hAnsiTheme="majorEastAsia" w:eastAsiaTheme="majorEastAsia"/>
          <w:szCs w:val="28"/>
        </w:rPr>
        <w:t>亿元，旅游公路投资1</w:t>
      </w:r>
      <w:r>
        <w:rPr>
          <w:rFonts w:cs="FangSong_GB2312" w:asciiTheme="majorEastAsia" w:hAnsiTheme="majorEastAsia" w:eastAsiaTheme="majorEastAsia"/>
          <w:szCs w:val="28"/>
        </w:rPr>
        <w:t>0.1</w:t>
      </w:r>
      <w:r>
        <w:rPr>
          <w:rFonts w:hint="eastAsia" w:cs="FangSong_GB2312" w:asciiTheme="majorEastAsia" w:hAnsiTheme="majorEastAsia" w:eastAsiaTheme="majorEastAsia"/>
          <w:szCs w:val="28"/>
        </w:rPr>
        <w:t>亿元，其他项目投资</w:t>
      </w:r>
      <w:r>
        <w:rPr>
          <w:rFonts w:cs="FangSong_GB2312" w:asciiTheme="majorEastAsia" w:hAnsiTheme="majorEastAsia" w:eastAsiaTheme="majorEastAsia"/>
          <w:szCs w:val="28"/>
        </w:rPr>
        <w:t>49.8</w:t>
      </w:r>
      <w:r>
        <w:rPr>
          <w:rFonts w:hint="eastAsia" w:cs="FangSong_GB2312" w:asciiTheme="majorEastAsia" w:hAnsiTheme="majorEastAsia" w:eastAsiaTheme="majorEastAsia"/>
          <w:szCs w:val="28"/>
        </w:rPr>
        <w:t>亿元。</w:t>
      </w:r>
      <w:r>
        <w:rPr>
          <w:rFonts w:hint="eastAsia" w:asciiTheme="majorEastAsia" w:hAnsiTheme="majorEastAsia" w:eastAsiaTheme="majorEastAsia"/>
          <w:szCs w:val="28"/>
        </w:rPr>
        <w:t>“十三五”期保持投资高位运行，连续4年突破百亿，为拉动全市经济社会发展做出了重要贡献。同时积极向上争取高速公路、国道改造、农村公路中央补助资金</w:t>
      </w:r>
      <w:r>
        <w:rPr>
          <w:rFonts w:hint="eastAsia" w:cs="FangSong_GB2312" w:asciiTheme="majorEastAsia" w:hAnsiTheme="majorEastAsia" w:eastAsiaTheme="majorEastAsia"/>
          <w:szCs w:val="28"/>
        </w:rPr>
        <w:t>218.6</w:t>
      </w:r>
      <w:r>
        <w:rPr>
          <w:rFonts w:hint="eastAsia" w:asciiTheme="majorEastAsia" w:hAnsiTheme="majorEastAsia" w:eastAsiaTheme="majorEastAsia"/>
          <w:szCs w:val="28"/>
        </w:rPr>
        <w:t>亿元，在融资政策趋紧的情况下，有效减缓地方交通建设资金压力。</w:t>
      </w:r>
    </w:p>
    <w:p>
      <w:pPr>
        <w:widowControl/>
        <w:spacing w:line="240" w:lineRule="auto"/>
        <w:jc w:val="center"/>
        <w:rPr>
          <w:rFonts w:asciiTheme="majorEastAsia" w:hAnsiTheme="majorEastAsia" w:eastAsiaTheme="majorEastAsia"/>
          <w:szCs w:val="28"/>
        </w:rPr>
      </w:pPr>
      <w:r>
        <w:drawing>
          <wp:inline distT="0" distB="0" distL="0" distR="0">
            <wp:extent cx="5324475" cy="4552950"/>
            <wp:effectExtent l="0" t="0" r="9525"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widowControl/>
        <w:spacing w:line="240" w:lineRule="auto"/>
        <w:jc w:val="center"/>
        <w:rPr>
          <w:rFonts w:asciiTheme="majorEastAsia" w:hAnsiTheme="majorEastAsia" w:eastAsiaTheme="majorEastAsia"/>
          <w:b/>
          <w:bCs/>
          <w:sz w:val="24"/>
        </w:rPr>
      </w:pPr>
      <w:r>
        <w:rPr>
          <w:rFonts w:hint="eastAsia" w:asciiTheme="majorEastAsia" w:hAnsiTheme="majorEastAsia" w:eastAsiaTheme="majorEastAsia"/>
          <w:b/>
          <w:bCs/>
          <w:sz w:val="24"/>
        </w:rPr>
        <w:t>图2</w:t>
      </w:r>
      <w:r>
        <w:rPr>
          <w:rFonts w:asciiTheme="majorEastAsia" w:hAnsiTheme="majorEastAsia" w:eastAsiaTheme="majorEastAsia"/>
          <w:b/>
          <w:bCs/>
          <w:sz w:val="24"/>
        </w:rPr>
        <w:t>-1</w:t>
      </w:r>
      <w:r>
        <w:rPr>
          <w:rFonts w:hint="eastAsia" w:asciiTheme="majorEastAsia" w:hAnsiTheme="majorEastAsia" w:eastAsiaTheme="majorEastAsia"/>
          <w:b/>
          <w:bCs/>
          <w:sz w:val="24"/>
        </w:rPr>
        <w:t>“十三五”期六盘水市交通建设投资比例图</w:t>
      </w:r>
    </w:p>
    <w:p>
      <w:pPr>
        <w:pStyle w:val="5"/>
        <w:rPr>
          <w:rFonts w:asciiTheme="majorEastAsia" w:hAnsiTheme="majorEastAsia"/>
        </w:rPr>
      </w:pPr>
      <w:bookmarkStart w:id="124" w:name="_Toc43373294"/>
      <w:r>
        <w:rPr>
          <w:rFonts w:cs="Times New Roman" w:asciiTheme="majorEastAsia" w:hAnsiTheme="majorEastAsia"/>
        </w:rPr>
        <w:t>2.1.1.3</w:t>
      </w:r>
      <w:r>
        <w:rPr>
          <w:rFonts w:hint="eastAsia" w:asciiTheme="majorEastAsia" w:hAnsiTheme="majorEastAsia"/>
        </w:rPr>
        <w:t>基础设施迈向新高度</w:t>
      </w:r>
      <w:bookmarkEnd w:id="124"/>
    </w:p>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 xml:space="preserve"> “十三五”时期是六盘水市科学发展、后发赶超、与全国同步全面建成小康社会的决胜时期，是六盘水市全面深化改革、扩大开放，壮大经济总量、提升发展质量效益的战略机遇期。“十三五”期间全面实施《六盘水市“十三五”交通运输发展总规划》，深入实施“六网会战”，大力推进“两新一重”建设，在市委、市政府的正确领导下，在省交通运输厅的大力支持下，市交通运输局加快以高速公路、</w:t>
      </w:r>
      <w:bookmarkStart w:id="125" w:name="_Hlk66383899"/>
      <w:r>
        <w:rPr>
          <w:rFonts w:hint="eastAsia" w:asciiTheme="majorEastAsia" w:hAnsiTheme="majorEastAsia" w:eastAsiaTheme="majorEastAsia"/>
          <w:szCs w:val="28"/>
        </w:rPr>
        <w:t>农村公路为重点的基础设施建设、提升交通服务品质、提高可持续发展水平、提升智能交通管理能力，基本建成功能完善、结构合理、衔接顺畅、安全可靠的综合交通运输体系。“十三五”期间，全市加快推进“383” 重大交通公路攻坚、国省道提等改造、乡镇通二级公路、通村水泥路、组组通公路建设，既定的主要目标任务完成，为六盘水市全力推动高质量发展，开启交通强国建设奠定了坚实基础。</w:t>
      </w:r>
    </w:p>
    <w:p>
      <w:pPr>
        <w:ind w:firstLine="548" w:firstLineChars="196"/>
        <w:rPr>
          <w:rFonts w:asciiTheme="majorEastAsia" w:hAnsiTheme="majorEastAsia" w:eastAsiaTheme="majorEastAsia"/>
          <w:kern w:val="0"/>
          <w:szCs w:val="28"/>
        </w:rPr>
      </w:pPr>
      <w:r>
        <w:rPr>
          <w:rFonts w:asciiTheme="majorEastAsia" w:hAnsiTheme="majorEastAsia" w:eastAsiaTheme="majorEastAsia"/>
          <w:kern w:val="0"/>
          <w:szCs w:val="28"/>
        </w:rPr>
        <w:t>经过“十三五”期的努力，全</w:t>
      </w:r>
      <w:r>
        <w:rPr>
          <w:rFonts w:hint="eastAsia" w:asciiTheme="majorEastAsia" w:hAnsiTheme="majorEastAsia" w:eastAsiaTheme="majorEastAsia"/>
          <w:kern w:val="0"/>
          <w:szCs w:val="28"/>
        </w:rPr>
        <w:t>市</w:t>
      </w:r>
      <w:r>
        <w:rPr>
          <w:rFonts w:asciiTheme="majorEastAsia" w:hAnsiTheme="majorEastAsia" w:eastAsiaTheme="majorEastAsia"/>
          <w:kern w:val="0"/>
          <w:szCs w:val="28"/>
        </w:rPr>
        <w:t>公路水路交通运输条件得到进一步改善，公路水路交通运输不仅在拉动全</w:t>
      </w:r>
      <w:r>
        <w:rPr>
          <w:rFonts w:hint="eastAsia" w:asciiTheme="majorEastAsia" w:hAnsiTheme="majorEastAsia" w:eastAsiaTheme="majorEastAsia"/>
          <w:kern w:val="0"/>
          <w:szCs w:val="28"/>
        </w:rPr>
        <w:t>市</w:t>
      </w:r>
      <w:r>
        <w:rPr>
          <w:rFonts w:asciiTheme="majorEastAsia" w:hAnsiTheme="majorEastAsia" w:eastAsiaTheme="majorEastAsia"/>
          <w:kern w:val="0"/>
          <w:szCs w:val="28"/>
        </w:rPr>
        <w:t>经济增长、应对国际金融危机、应对自然灾害等方面发挥了积极而显著的作用，还为全</w:t>
      </w:r>
      <w:r>
        <w:rPr>
          <w:rFonts w:hint="eastAsia" w:asciiTheme="majorEastAsia" w:hAnsiTheme="majorEastAsia" w:eastAsiaTheme="majorEastAsia"/>
          <w:kern w:val="0"/>
          <w:szCs w:val="28"/>
        </w:rPr>
        <w:t>市</w:t>
      </w:r>
      <w:r>
        <w:rPr>
          <w:rFonts w:asciiTheme="majorEastAsia" w:hAnsiTheme="majorEastAsia" w:eastAsiaTheme="majorEastAsia"/>
          <w:kern w:val="0"/>
          <w:szCs w:val="28"/>
        </w:rPr>
        <w:t>保持经济平稳较快发展、加快转变增长方式、促进城乡区域协调发展、保障社会和谐稳定作出了重要贡献。</w:t>
      </w:r>
    </w:p>
    <w:p>
      <w:pPr>
        <w:widowControl/>
        <w:spacing w:line="240" w:lineRule="auto"/>
        <w:jc w:val="center"/>
        <w:textAlignment w:val="center"/>
        <w:rPr>
          <w:rFonts w:asciiTheme="majorEastAsia" w:hAnsiTheme="majorEastAsia" w:eastAsiaTheme="majorEastAsia"/>
          <w:b/>
          <w:sz w:val="24"/>
        </w:rPr>
      </w:pPr>
      <w:r>
        <w:rPr>
          <w:rFonts w:asciiTheme="majorEastAsia" w:hAnsiTheme="majorEastAsia" w:eastAsiaTheme="majorEastAsia"/>
          <w:b/>
          <w:sz w:val="24"/>
        </w:rPr>
        <w:t>表2-1  “十三五”规划主要指标完成情况</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4"/>
        <w:gridCol w:w="1496"/>
        <w:gridCol w:w="1625"/>
        <w:gridCol w:w="1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794" w:type="dxa"/>
            <w:noWrap/>
            <w:vAlign w:val="center"/>
          </w:tcPr>
          <w:p>
            <w:pPr>
              <w:widowControl/>
              <w:spacing w:line="240" w:lineRule="auto"/>
              <w:jc w:val="center"/>
              <w:textAlignment w:val="center"/>
              <w:rPr>
                <w:rFonts w:asciiTheme="majorEastAsia" w:hAnsiTheme="majorEastAsia" w:eastAsiaTheme="majorEastAsia"/>
                <w:b/>
                <w:bCs/>
                <w:sz w:val="24"/>
              </w:rPr>
            </w:pPr>
            <w:r>
              <w:rPr>
                <w:rFonts w:hint="eastAsia" w:asciiTheme="majorEastAsia" w:hAnsiTheme="majorEastAsia" w:eastAsiaTheme="majorEastAsia"/>
                <w:b/>
                <w:bCs/>
                <w:sz w:val="24"/>
              </w:rPr>
              <w:t>指标</w:t>
            </w:r>
          </w:p>
        </w:tc>
        <w:tc>
          <w:tcPr>
            <w:tcW w:w="1496" w:type="dxa"/>
            <w:noWrap/>
            <w:vAlign w:val="center"/>
          </w:tcPr>
          <w:p>
            <w:pPr>
              <w:widowControl/>
              <w:spacing w:line="240" w:lineRule="auto"/>
              <w:jc w:val="center"/>
              <w:textAlignment w:val="center"/>
              <w:rPr>
                <w:rFonts w:asciiTheme="majorEastAsia" w:hAnsiTheme="majorEastAsia" w:eastAsiaTheme="majorEastAsia"/>
                <w:b/>
                <w:bCs/>
                <w:sz w:val="24"/>
              </w:rPr>
            </w:pPr>
            <w:r>
              <w:rPr>
                <w:rFonts w:hint="eastAsia" w:asciiTheme="majorEastAsia" w:hAnsiTheme="majorEastAsia" w:eastAsiaTheme="majorEastAsia"/>
                <w:b/>
                <w:bCs/>
                <w:sz w:val="24"/>
              </w:rPr>
              <w:t>规划目标</w:t>
            </w:r>
          </w:p>
        </w:tc>
        <w:tc>
          <w:tcPr>
            <w:tcW w:w="1625" w:type="dxa"/>
            <w:noWrap/>
            <w:vAlign w:val="center"/>
          </w:tcPr>
          <w:p>
            <w:pPr>
              <w:widowControl/>
              <w:spacing w:line="240" w:lineRule="auto"/>
              <w:jc w:val="center"/>
              <w:textAlignment w:val="center"/>
              <w:rPr>
                <w:rFonts w:asciiTheme="majorEastAsia" w:hAnsiTheme="majorEastAsia" w:eastAsiaTheme="majorEastAsia"/>
                <w:b/>
                <w:bCs/>
                <w:sz w:val="24"/>
              </w:rPr>
            </w:pPr>
            <w:r>
              <w:rPr>
                <w:rFonts w:hint="eastAsia" w:asciiTheme="majorEastAsia" w:hAnsiTheme="majorEastAsia" w:eastAsiaTheme="majorEastAsia"/>
                <w:b/>
                <w:bCs/>
                <w:sz w:val="24"/>
              </w:rPr>
              <w:t>“十三五”实施情况</w:t>
            </w:r>
          </w:p>
        </w:tc>
        <w:tc>
          <w:tcPr>
            <w:tcW w:w="1607" w:type="dxa"/>
            <w:noWrap/>
            <w:vAlign w:val="center"/>
          </w:tcPr>
          <w:p>
            <w:pPr>
              <w:widowControl/>
              <w:spacing w:line="240" w:lineRule="auto"/>
              <w:jc w:val="center"/>
              <w:textAlignment w:val="center"/>
              <w:rPr>
                <w:rFonts w:asciiTheme="majorEastAsia" w:hAnsiTheme="majorEastAsia" w:eastAsiaTheme="majorEastAsia"/>
                <w:b/>
                <w:bCs/>
                <w:sz w:val="24"/>
              </w:rPr>
            </w:pPr>
            <w:r>
              <w:rPr>
                <w:rFonts w:hint="eastAsia" w:asciiTheme="majorEastAsia" w:hAnsiTheme="majorEastAsia" w:eastAsiaTheme="majorEastAsia"/>
                <w:b/>
                <w:bCs/>
                <w:sz w:val="24"/>
              </w:rPr>
              <w:t>完成百分比（%）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794" w:type="dxa"/>
            <w:noWrap/>
          </w:tcPr>
          <w:p>
            <w:pPr>
              <w:widowControl/>
              <w:spacing w:line="240" w:lineRule="auto"/>
              <w:jc w:val="center"/>
              <w:textAlignment w:val="center"/>
              <w:rPr>
                <w:rFonts w:asciiTheme="majorEastAsia" w:hAnsiTheme="majorEastAsia" w:eastAsiaTheme="majorEastAsia"/>
                <w:bCs/>
                <w:sz w:val="22"/>
                <w:szCs w:val="22"/>
              </w:rPr>
            </w:pPr>
            <w:r>
              <w:rPr>
                <w:rFonts w:hint="eastAsia" w:asciiTheme="majorEastAsia" w:hAnsiTheme="majorEastAsia" w:eastAsiaTheme="majorEastAsia"/>
                <w:bCs/>
                <w:sz w:val="22"/>
                <w:szCs w:val="22"/>
              </w:rPr>
              <w:t>公路总里程（万公里）</w:t>
            </w:r>
          </w:p>
        </w:tc>
        <w:tc>
          <w:tcPr>
            <w:tcW w:w="1496" w:type="dxa"/>
            <w:noWrap/>
            <w:vAlign w:val="center"/>
          </w:tcPr>
          <w:p>
            <w:pPr>
              <w:widowControl/>
              <w:spacing w:line="240" w:lineRule="auto"/>
              <w:jc w:val="center"/>
              <w:textAlignment w:val="center"/>
              <w:rPr>
                <w:rFonts w:asciiTheme="majorEastAsia" w:hAnsiTheme="majorEastAsia" w:eastAsiaTheme="majorEastAsia"/>
                <w:bCs/>
                <w:sz w:val="22"/>
                <w:szCs w:val="22"/>
              </w:rPr>
            </w:pPr>
            <w:r>
              <w:rPr>
                <w:rFonts w:hint="eastAsia" w:asciiTheme="majorEastAsia" w:hAnsiTheme="majorEastAsia" w:eastAsiaTheme="majorEastAsia"/>
                <w:bCs/>
                <w:sz w:val="22"/>
                <w:szCs w:val="22"/>
              </w:rPr>
              <w:t>1.5</w:t>
            </w:r>
          </w:p>
        </w:tc>
        <w:tc>
          <w:tcPr>
            <w:tcW w:w="1625" w:type="dxa"/>
            <w:noWrap/>
            <w:vAlign w:val="center"/>
          </w:tcPr>
          <w:p>
            <w:pPr>
              <w:widowControl/>
              <w:spacing w:line="240" w:lineRule="auto"/>
              <w:jc w:val="center"/>
              <w:textAlignment w:val="center"/>
              <w:rPr>
                <w:rFonts w:asciiTheme="majorEastAsia" w:hAnsiTheme="majorEastAsia" w:eastAsiaTheme="majorEastAsia"/>
                <w:bCs/>
                <w:sz w:val="22"/>
                <w:szCs w:val="22"/>
              </w:rPr>
            </w:pPr>
            <w:r>
              <w:rPr>
                <w:rFonts w:hint="eastAsia" w:asciiTheme="majorEastAsia" w:hAnsiTheme="majorEastAsia" w:eastAsiaTheme="majorEastAsia"/>
                <w:bCs/>
                <w:sz w:val="22"/>
                <w:szCs w:val="22"/>
              </w:rPr>
              <w:t>1.47</w:t>
            </w:r>
          </w:p>
        </w:tc>
        <w:tc>
          <w:tcPr>
            <w:tcW w:w="1607" w:type="dxa"/>
            <w:noWrap/>
            <w:vAlign w:val="center"/>
          </w:tcPr>
          <w:p>
            <w:pPr>
              <w:widowControl/>
              <w:spacing w:line="240" w:lineRule="auto"/>
              <w:jc w:val="center"/>
              <w:textAlignment w:val="center"/>
              <w:rPr>
                <w:rFonts w:asciiTheme="majorEastAsia" w:hAnsiTheme="majorEastAsia" w:eastAsiaTheme="majorEastAsia"/>
                <w:bCs/>
                <w:sz w:val="22"/>
                <w:szCs w:val="22"/>
              </w:rPr>
            </w:pPr>
            <w:r>
              <w:rPr>
                <w:rFonts w:hint="eastAsia" w:asciiTheme="majorEastAsia" w:hAnsiTheme="majorEastAsia" w:eastAsiaTheme="majorEastAsia"/>
                <w:bCs/>
                <w:sz w:val="22"/>
                <w:szCs w:val="22"/>
              </w:rPr>
              <w:t>98.00%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794" w:type="dxa"/>
            <w:noWrap/>
          </w:tcPr>
          <w:p>
            <w:pPr>
              <w:widowControl/>
              <w:spacing w:line="240" w:lineRule="auto"/>
              <w:jc w:val="center"/>
              <w:textAlignment w:val="center"/>
              <w:rPr>
                <w:rFonts w:asciiTheme="majorEastAsia" w:hAnsiTheme="majorEastAsia" w:eastAsiaTheme="majorEastAsia"/>
                <w:bCs/>
                <w:sz w:val="22"/>
                <w:szCs w:val="22"/>
              </w:rPr>
            </w:pPr>
            <w:r>
              <w:rPr>
                <w:rFonts w:hint="eastAsia" w:asciiTheme="majorEastAsia" w:hAnsiTheme="majorEastAsia" w:eastAsiaTheme="majorEastAsia"/>
                <w:bCs/>
                <w:sz w:val="22"/>
                <w:szCs w:val="22"/>
              </w:rPr>
              <w:t>高速公路总里程（公里）</w:t>
            </w:r>
          </w:p>
        </w:tc>
        <w:tc>
          <w:tcPr>
            <w:tcW w:w="1496" w:type="dxa"/>
            <w:noWrap/>
            <w:vAlign w:val="center"/>
          </w:tcPr>
          <w:p>
            <w:pPr>
              <w:widowControl/>
              <w:spacing w:line="240" w:lineRule="auto"/>
              <w:jc w:val="center"/>
              <w:textAlignment w:val="center"/>
              <w:rPr>
                <w:rFonts w:asciiTheme="majorEastAsia" w:hAnsiTheme="majorEastAsia" w:eastAsiaTheme="majorEastAsia"/>
                <w:bCs/>
                <w:sz w:val="22"/>
                <w:szCs w:val="22"/>
              </w:rPr>
            </w:pPr>
            <w:r>
              <w:rPr>
                <w:rFonts w:hint="eastAsia" w:asciiTheme="majorEastAsia" w:hAnsiTheme="majorEastAsia" w:eastAsiaTheme="majorEastAsia"/>
                <w:bCs/>
                <w:sz w:val="22"/>
                <w:szCs w:val="22"/>
              </w:rPr>
              <w:t>800</w:t>
            </w:r>
          </w:p>
        </w:tc>
        <w:tc>
          <w:tcPr>
            <w:tcW w:w="1625" w:type="dxa"/>
            <w:noWrap/>
            <w:vAlign w:val="center"/>
          </w:tcPr>
          <w:p>
            <w:pPr>
              <w:widowControl/>
              <w:spacing w:line="240" w:lineRule="auto"/>
              <w:jc w:val="center"/>
              <w:textAlignment w:val="center"/>
              <w:rPr>
                <w:rFonts w:asciiTheme="majorEastAsia" w:hAnsiTheme="majorEastAsia" w:eastAsiaTheme="majorEastAsia"/>
                <w:bCs/>
                <w:sz w:val="22"/>
                <w:szCs w:val="22"/>
              </w:rPr>
            </w:pPr>
            <w:r>
              <w:rPr>
                <w:rFonts w:hint="eastAsia" w:asciiTheme="majorEastAsia" w:hAnsiTheme="majorEastAsia" w:eastAsiaTheme="majorEastAsia"/>
                <w:bCs/>
                <w:sz w:val="22"/>
                <w:szCs w:val="22"/>
              </w:rPr>
              <w:t>440</w:t>
            </w:r>
          </w:p>
        </w:tc>
        <w:tc>
          <w:tcPr>
            <w:tcW w:w="1607" w:type="dxa"/>
            <w:noWrap/>
            <w:vAlign w:val="center"/>
          </w:tcPr>
          <w:p>
            <w:pPr>
              <w:widowControl/>
              <w:spacing w:line="240" w:lineRule="auto"/>
              <w:jc w:val="center"/>
              <w:textAlignment w:val="center"/>
              <w:rPr>
                <w:rFonts w:asciiTheme="majorEastAsia" w:hAnsiTheme="majorEastAsia" w:eastAsiaTheme="majorEastAsia"/>
                <w:bCs/>
                <w:sz w:val="22"/>
                <w:szCs w:val="22"/>
              </w:rPr>
            </w:pPr>
            <w:r>
              <w:rPr>
                <w:rFonts w:hint="eastAsia" w:asciiTheme="majorEastAsia" w:hAnsiTheme="majorEastAsia" w:eastAsiaTheme="majorEastAsia"/>
                <w:bCs/>
                <w:sz w:val="22"/>
                <w:szCs w:val="22"/>
              </w:rPr>
              <w:t>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794" w:type="dxa"/>
            <w:noWrap/>
          </w:tcPr>
          <w:p>
            <w:pPr>
              <w:widowControl/>
              <w:spacing w:line="240" w:lineRule="auto"/>
              <w:jc w:val="center"/>
              <w:textAlignment w:val="center"/>
              <w:rPr>
                <w:rFonts w:asciiTheme="majorEastAsia" w:hAnsiTheme="majorEastAsia" w:eastAsiaTheme="majorEastAsia"/>
                <w:bCs/>
                <w:sz w:val="22"/>
                <w:szCs w:val="22"/>
              </w:rPr>
            </w:pPr>
            <w:r>
              <w:rPr>
                <w:rFonts w:hint="eastAsia" w:asciiTheme="majorEastAsia" w:hAnsiTheme="majorEastAsia" w:eastAsiaTheme="majorEastAsia"/>
                <w:bCs/>
                <w:sz w:val="22"/>
                <w:szCs w:val="22"/>
              </w:rPr>
              <w:t>普通国道二级及以上比重（%）</w:t>
            </w:r>
          </w:p>
        </w:tc>
        <w:tc>
          <w:tcPr>
            <w:tcW w:w="1496" w:type="dxa"/>
            <w:noWrap/>
            <w:vAlign w:val="center"/>
          </w:tcPr>
          <w:p>
            <w:pPr>
              <w:widowControl/>
              <w:spacing w:line="240" w:lineRule="auto"/>
              <w:jc w:val="center"/>
              <w:textAlignment w:val="center"/>
              <w:rPr>
                <w:rFonts w:asciiTheme="majorEastAsia" w:hAnsiTheme="majorEastAsia" w:eastAsiaTheme="majorEastAsia"/>
                <w:bCs/>
                <w:sz w:val="22"/>
                <w:szCs w:val="22"/>
              </w:rPr>
            </w:pPr>
            <w:r>
              <w:rPr>
                <w:rFonts w:hint="eastAsia" w:asciiTheme="majorEastAsia" w:hAnsiTheme="majorEastAsia" w:eastAsiaTheme="majorEastAsia"/>
                <w:bCs/>
                <w:sz w:val="22"/>
                <w:szCs w:val="22"/>
              </w:rPr>
              <w:t>90</w:t>
            </w:r>
          </w:p>
        </w:tc>
        <w:tc>
          <w:tcPr>
            <w:tcW w:w="1625" w:type="dxa"/>
            <w:noWrap/>
            <w:vAlign w:val="center"/>
          </w:tcPr>
          <w:p>
            <w:pPr>
              <w:widowControl/>
              <w:spacing w:line="240" w:lineRule="auto"/>
              <w:jc w:val="center"/>
              <w:textAlignment w:val="center"/>
              <w:rPr>
                <w:rFonts w:asciiTheme="majorEastAsia" w:hAnsiTheme="majorEastAsia" w:eastAsiaTheme="majorEastAsia"/>
                <w:bCs/>
                <w:sz w:val="22"/>
                <w:szCs w:val="22"/>
              </w:rPr>
            </w:pPr>
            <w:r>
              <w:rPr>
                <w:rFonts w:hint="eastAsia" w:asciiTheme="majorEastAsia" w:hAnsiTheme="majorEastAsia" w:eastAsiaTheme="majorEastAsia"/>
                <w:bCs/>
                <w:sz w:val="22"/>
                <w:szCs w:val="22"/>
              </w:rPr>
              <w:t>6</w:t>
            </w:r>
            <w:r>
              <w:rPr>
                <w:rFonts w:asciiTheme="majorEastAsia" w:hAnsiTheme="majorEastAsia" w:eastAsiaTheme="majorEastAsia"/>
                <w:bCs/>
                <w:sz w:val="22"/>
                <w:szCs w:val="22"/>
              </w:rPr>
              <w:t>7</w:t>
            </w:r>
            <w:r>
              <w:rPr>
                <w:rFonts w:hint="eastAsia" w:asciiTheme="majorEastAsia" w:hAnsiTheme="majorEastAsia" w:eastAsiaTheme="majorEastAsia"/>
                <w:bCs/>
                <w:sz w:val="22"/>
                <w:szCs w:val="22"/>
              </w:rPr>
              <w:t>.5</w:t>
            </w:r>
          </w:p>
        </w:tc>
        <w:tc>
          <w:tcPr>
            <w:tcW w:w="1607" w:type="dxa"/>
            <w:noWrap/>
            <w:vAlign w:val="center"/>
          </w:tcPr>
          <w:p>
            <w:pPr>
              <w:widowControl/>
              <w:spacing w:line="240" w:lineRule="auto"/>
              <w:jc w:val="center"/>
              <w:textAlignment w:val="center"/>
              <w:rPr>
                <w:rFonts w:asciiTheme="majorEastAsia" w:hAnsiTheme="majorEastAsia" w:eastAsiaTheme="majorEastAsia"/>
                <w:bCs/>
                <w:sz w:val="22"/>
                <w:szCs w:val="22"/>
              </w:rPr>
            </w:pPr>
            <w:r>
              <w:rPr>
                <w:rFonts w:hint="eastAsia" w:asciiTheme="majorEastAsia" w:hAnsiTheme="majorEastAsia" w:eastAsiaTheme="majorEastAsia"/>
                <w:bCs/>
                <w:sz w:val="22"/>
                <w:szCs w:val="22"/>
              </w:rPr>
              <w:t>7</w:t>
            </w:r>
            <w:r>
              <w:rPr>
                <w:rFonts w:asciiTheme="majorEastAsia" w:hAnsiTheme="majorEastAsia" w:eastAsiaTheme="majorEastAsia"/>
                <w:bCs/>
                <w:sz w:val="22"/>
                <w:szCs w:val="22"/>
              </w:rPr>
              <w:t>5</w:t>
            </w:r>
            <w:r>
              <w:rPr>
                <w:rFonts w:hint="eastAsia" w:asciiTheme="majorEastAsia" w:hAnsiTheme="majorEastAsia" w:eastAsiaTheme="major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794" w:type="dxa"/>
            <w:noWrap/>
          </w:tcPr>
          <w:p>
            <w:pPr>
              <w:widowControl/>
              <w:spacing w:line="240" w:lineRule="auto"/>
              <w:jc w:val="center"/>
              <w:textAlignment w:val="center"/>
              <w:rPr>
                <w:rFonts w:asciiTheme="majorEastAsia" w:hAnsiTheme="majorEastAsia" w:eastAsiaTheme="majorEastAsia"/>
                <w:bCs/>
                <w:sz w:val="22"/>
                <w:szCs w:val="22"/>
              </w:rPr>
            </w:pPr>
            <w:r>
              <w:rPr>
                <w:rFonts w:hint="eastAsia" w:asciiTheme="majorEastAsia" w:hAnsiTheme="majorEastAsia" w:eastAsiaTheme="majorEastAsia"/>
                <w:bCs/>
                <w:sz w:val="22"/>
                <w:szCs w:val="22"/>
              </w:rPr>
              <w:t>普通省道三级及以上比重（%）</w:t>
            </w:r>
          </w:p>
        </w:tc>
        <w:tc>
          <w:tcPr>
            <w:tcW w:w="1496" w:type="dxa"/>
            <w:noWrap/>
            <w:vAlign w:val="center"/>
          </w:tcPr>
          <w:p>
            <w:pPr>
              <w:widowControl/>
              <w:spacing w:line="240" w:lineRule="auto"/>
              <w:jc w:val="center"/>
              <w:textAlignment w:val="center"/>
              <w:rPr>
                <w:rFonts w:asciiTheme="majorEastAsia" w:hAnsiTheme="majorEastAsia" w:eastAsiaTheme="majorEastAsia"/>
                <w:bCs/>
                <w:sz w:val="22"/>
                <w:szCs w:val="22"/>
              </w:rPr>
            </w:pPr>
            <w:r>
              <w:rPr>
                <w:rFonts w:hint="eastAsia" w:asciiTheme="majorEastAsia" w:hAnsiTheme="majorEastAsia" w:eastAsiaTheme="majorEastAsia"/>
                <w:bCs/>
                <w:sz w:val="22"/>
                <w:szCs w:val="22"/>
              </w:rPr>
              <w:t>70</w:t>
            </w:r>
          </w:p>
        </w:tc>
        <w:tc>
          <w:tcPr>
            <w:tcW w:w="1625" w:type="dxa"/>
            <w:noWrap/>
            <w:vAlign w:val="center"/>
          </w:tcPr>
          <w:p>
            <w:pPr>
              <w:widowControl/>
              <w:spacing w:line="240" w:lineRule="auto"/>
              <w:jc w:val="center"/>
              <w:textAlignment w:val="center"/>
              <w:rPr>
                <w:rFonts w:asciiTheme="majorEastAsia" w:hAnsiTheme="majorEastAsia" w:eastAsiaTheme="majorEastAsia"/>
                <w:bCs/>
                <w:sz w:val="22"/>
                <w:szCs w:val="22"/>
              </w:rPr>
            </w:pPr>
            <w:r>
              <w:rPr>
                <w:rFonts w:hint="eastAsia" w:asciiTheme="majorEastAsia" w:hAnsiTheme="majorEastAsia" w:eastAsiaTheme="majorEastAsia"/>
                <w:bCs/>
                <w:sz w:val="22"/>
                <w:szCs w:val="22"/>
              </w:rPr>
              <w:t>52.</w:t>
            </w:r>
            <w:r>
              <w:rPr>
                <w:rFonts w:asciiTheme="majorEastAsia" w:hAnsiTheme="majorEastAsia" w:eastAsiaTheme="majorEastAsia"/>
                <w:bCs/>
                <w:sz w:val="22"/>
                <w:szCs w:val="22"/>
              </w:rPr>
              <w:t>5</w:t>
            </w:r>
          </w:p>
        </w:tc>
        <w:tc>
          <w:tcPr>
            <w:tcW w:w="1607" w:type="dxa"/>
            <w:noWrap/>
            <w:vAlign w:val="center"/>
          </w:tcPr>
          <w:p>
            <w:pPr>
              <w:widowControl/>
              <w:spacing w:line="240" w:lineRule="auto"/>
              <w:jc w:val="center"/>
              <w:textAlignment w:val="center"/>
              <w:rPr>
                <w:rFonts w:asciiTheme="majorEastAsia" w:hAnsiTheme="majorEastAsia" w:eastAsiaTheme="majorEastAsia"/>
                <w:bCs/>
                <w:sz w:val="22"/>
                <w:szCs w:val="22"/>
              </w:rPr>
            </w:pPr>
            <w:r>
              <w:rPr>
                <w:rFonts w:asciiTheme="majorEastAsia" w:hAnsiTheme="majorEastAsia" w:eastAsiaTheme="majorEastAsia"/>
                <w:bCs/>
                <w:sz w:val="22"/>
                <w:szCs w:val="22"/>
              </w:rPr>
              <w:t>75</w:t>
            </w:r>
            <w:r>
              <w:rPr>
                <w:rFonts w:hint="eastAsia" w:asciiTheme="majorEastAsia" w:hAnsiTheme="majorEastAsia" w:eastAsiaTheme="major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794" w:type="dxa"/>
            <w:noWrap/>
          </w:tcPr>
          <w:p>
            <w:pPr>
              <w:widowControl/>
              <w:spacing w:line="240" w:lineRule="auto"/>
              <w:jc w:val="center"/>
              <w:textAlignment w:val="center"/>
              <w:rPr>
                <w:rFonts w:asciiTheme="majorEastAsia" w:hAnsiTheme="majorEastAsia" w:eastAsiaTheme="majorEastAsia"/>
                <w:bCs/>
                <w:sz w:val="22"/>
                <w:szCs w:val="22"/>
              </w:rPr>
            </w:pPr>
            <w:r>
              <w:rPr>
                <w:rFonts w:hint="eastAsia" w:asciiTheme="majorEastAsia" w:hAnsiTheme="majorEastAsia" w:eastAsiaTheme="majorEastAsia"/>
                <w:bCs/>
                <w:sz w:val="22"/>
                <w:szCs w:val="22"/>
              </w:rPr>
              <w:t>乡镇客运站点覆盖率（%）</w:t>
            </w:r>
          </w:p>
        </w:tc>
        <w:tc>
          <w:tcPr>
            <w:tcW w:w="1496" w:type="dxa"/>
            <w:noWrap/>
            <w:vAlign w:val="center"/>
          </w:tcPr>
          <w:p>
            <w:pPr>
              <w:widowControl/>
              <w:spacing w:line="240" w:lineRule="auto"/>
              <w:jc w:val="center"/>
              <w:textAlignment w:val="center"/>
              <w:rPr>
                <w:rFonts w:asciiTheme="majorEastAsia" w:hAnsiTheme="majorEastAsia" w:eastAsiaTheme="majorEastAsia"/>
                <w:bCs/>
                <w:sz w:val="22"/>
                <w:szCs w:val="22"/>
              </w:rPr>
            </w:pPr>
            <w:r>
              <w:rPr>
                <w:rFonts w:hint="eastAsia" w:asciiTheme="majorEastAsia" w:hAnsiTheme="majorEastAsia" w:eastAsiaTheme="majorEastAsia"/>
                <w:bCs/>
                <w:sz w:val="22"/>
                <w:szCs w:val="22"/>
              </w:rPr>
              <w:t>100</w:t>
            </w:r>
          </w:p>
        </w:tc>
        <w:tc>
          <w:tcPr>
            <w:tcW w:w="1625" w:type="dxa"/>
            <w:noWrap/>
            <w:vAlign w:val="center"/>
          </w:tcPr>
          <w:p>
            <w:pPr>
              <w:widowControl/>
              <w:spacing w:line="240" w:lineRule="auto"/>
              <w:jc w:val="center"/>
              <w:textAlignment w:val="center"/>
              <w:rPr>
                <w:rFonts w:asciiTheme="majorEastAsia" w:hAnsiTheme="majorEastAsia" w:eastAsiaTheme="majorEastAsia"/>
                <w:bCs/>
                <w:sz w:val="22"/>
                <w:szCs w:val="22"/>
              </w:rPr>
            </w:pPr>
            <w:r>
              <w:rPr>
                <w:rFonts w:hint="eastAsia" w:asciiTheme="majorEastAsia" w:hAnsiTheme="majorEastAsia" w:eastAsiaTheme="majorEastAsia"/>
                <w:bCs/>
                <w:sz w:val="22"/>
                <w:szCs w:val="22"/>
              </w:rPr>
              <w:t>100</w:t>
            </w:r>
          </w:p>
        </w:tc>
        <w:tc>
          <w:tcPr>
            <w:tcW w:w="1607" w:type="dxa"/>
            <w:noWrap/>
            <w:vAlign w:val="center"/>
          </w:tcPr>
          <w:p>
            <w:pPr>
              <w:widowControl/>
              <w:spacing w:line="240" w:lineRule="auto"/>
              <w:jc w:val="center"/>
              <w:textAlignment w:val="center"/>
              <w:rPr>
                <w:rFonts w:asciiTheme="majorEastAsia" w:hAnsiTheme="majorEastAsia" w:eastAsiaTheme="majorEastAsia"/>
                <w:bCs/>
                <w:sz w:val="22"/>
                <w:szCs w:val="22"/>
              </w:rPr>
            </w:pPr>
            <w:r>
              <w:rPr>
                <w:rFonts w:hint="eastAsia" w:asciiTheme="majorEastAsia" w:hAnsiTheme="majorEastAsia" w:eastAsiaTheme="majorEastAsia"/>
                <w:bCs/>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794" w:type="dxa"/>
            <w:noWrap/>
          </w:tcPr>
          <w:p>
            <w:pPr>
              <w:widowControl/>
              <w:spacing w:line="240" w:lineRule="auto"/>
              <w:jc w:val="center"/>
              <w:textAlignment w:val="center"/>
              <w:rPr>
                <w:rFonts w:asciiTheme="majorEastAsia" w:hAnsiTheme="majorEastAsia" w:eastAsiaTheme="majorEastAsia"/>
                <w:bCs/>
                <w:sz w:val="22"/>
                <w:szCs w:val="22"/>
              </w:rPr>
            </w:pPr>
            <w:r>
              <w:rPr>
                <w:rFonts w:hint="eastAsia" w:asciiTheme="majorEastAsia" w:hAnsiTheme="majorEastAsia" w:eastAsiaTheme="majorEastAsia"/>
                <w:bCs/>
                <w:sz w:val="22"/>
                <w:szCs w:val="22"/>
              </w:rPr>
              <w:t>交通固定资产投资（亿元）</w:t>
            </w:r>
          </w:p>
        </w:tc>
        <w:tc>
          <w:tcPr>
            <w:tcW w:w="1496" w:type="dxa"/>
            <w:noWrap/>
            <w:vAlign w:val="center"/>
          </w:tcPr>
          <w:p>
            <w:pPr>
              <w:widowControl/>
              <w:spacing w:line="240" w:lineRule="auto"/>
              <w:jc w:val="center"/>
              <w:textAlignment w:val="center"/>
              <w:rPr>
                <w:rFonts w:asciiTheme="majorEastAsia" w:hAnsiTheme="majorEastAsia" w:eastAsiaTheme="majorEastAsia"/>
                <w:bCs/>
                <w:sz w:val="22"/>
                <w:szCs w:val="22"/>
              </w:rPr>
            </w:pPr>
            <w:r>
              <w:rPr>
                <w:rFonts w:hint="eastAsia" w:asciiTheme="majorEastAsia" w:hAnsiTheme="majorEastAsia" w:eastAsiaTheme="majorEastAsia"/>
                <w:bCs/>
                <w:sz w:val="22"/>
                <w:szCs w:val="22"/>
              </w:rPr>
              <w:t>802.4</w:t>
            </w:r>
          </w:p>
        </w:tc>
        <w:tc>
          <w:tcPr>
            <w:tcW w:w="1625" w:type="dxa"/>
            <w:noWrap/>
            <w:vAlign w:val="center"/>
          </w:tcPr>
          <w:p>
            <w:pPr>
              <w:widowControl/>
              <w:spacing w:line="240" w:lineRule="auto"/>
              <w:jc w:val="center"/>
              <w:textAlignment w:val="center"/>
              <w:rPr>
                <w:rFonts w:asciiTheme="majorEastAsia" w:hAnsiTheme="majorEastAsia" w:eastAsiaTheme="majorEastAsia"/>
                <w:bCs/>
                <w:sz w:val="22"/>
                <w:szCs w:val="22"/>
              </w:rPr>
            </w:pPr>
            <w:r>
              <w:rPr>
                <w:rFonts w:hint="eastAsia" w:asciiTheme="majorEastAsia" w:hAnsiTheme="majorEastAsia" w:eastAsiaTheme="majorEastAsia"/>
                <w:bCs/>
                <w:sz w:val="22"/>
                <w:szCs w:val="22"/>
              </w:rPr>
              <w:t>58</w:t>
            </w:r>
            <w:r>
              <w:rPr>
                <w:rFonts w:asciiTheme="majorEastAsia" w:hAnsiTheme="majorEastAsia" w:eastAsiaTheme="majorEastAsia"/>
                <w:bCs/>
                <w:sz w:val="22"/>
                <w:szCs w:val="22"/>
              </w:rPr>
              <w:t>9</w:t>
            </w:r>
          </w:p>
        </w:tc>
        <w:tc>
          <w:tcPr>
            <w:tcW w:w="1607" w:type="dxa"/>
            <w:noWrap/>
            <w:vAlign w:val="center"/>
          </w:tcPr>
          <w:p>
            <w:pPr>
              <w:widowControl/>
              <w:spacing w:line="240" w:lineRule="auto"/>
              <w:jc w:val="center"/>
              <w:textAlignment w:val="center"/>
              <w:rPr>
                <w:rFonts w:asciiTheme="majorEastAsia" w:hAnsiTheme="majorEastAsia" w:eastAsiaTheme="majorEastAsia"/>
                <w:bCs/>
                <w:sz w:val="22"/>
                <w:szCs w:val="22"/>
              </w:rPr>
            </w:pPr>
            <w:r>
              <w:rPr>
                <w:rFonts w:asciiTheme="majorEastAsia" w:hAnsiTheme="majorEastAsia" w:eastAsiaTheme="majorEastAsia"/>
                <w:bCs/>
                <w:sz w:val="22"/>
                <w:szCs w:val="22"/>
              </w:rPr>
              <w:t>73.40%</w:t>
            </w:r>
          </w:p>
        </w:tc>
      </w:tr>
    </w:tbl>
    <w:p>
      <w:pPr>
        <w:rPr>
          <w:rFonts w:asciiTheme="majorEastAsia" w:hAnsiTheme="majorEastAsia" w:eastAsiaTheme="majorEastAsia"/>
          <w:szCs w:val="28"/>
        </w:rPr>
      </w:pPr>
      <w:r>
        <w:rPr>
          <w:rFonts w:asciiTheme="majorEastAsia" w:hAnsiTheme="majorEastAsia" w:eastAsiaTheme="majorEastAsia"/>
          <w:szCs w:val="28"/>
        </w:rPr>
        <w:t xml:space="preserve"> “十三五”期</w:t>
      </w:r>
      <w:r>
        <w:rPr>
          <w:rFonts w:hint="eastAsia" w:asciiTheme="majorEastAsia" w:hAnsiTheme="majorEastAsia" w:eastAsiaTheme="majorEastAsia"/>
          <w:szCs w:val="28"/>
        </w:rPr>
        <w:t>六盘水市</w:t>
      </w:r>
      <w:r>
        <w:rPr>
          <w:rFonts w:asciiTheme="majorEastAsia" w:hAnsiTheme="majorEastAsia" w:eastAsiaTheme="majorEastAsia"/>
          <w:szCs w:val="28"/>
        </w:rPr>
        <w:t>交通建设发展成就主要体现在以下方面：</w:t>
      </w:r>
    </w:p>
    <w:p>
      <w:pPr>
        <w:pStyle w:val="6"/>
        <w:rPr>
          <w:rFonts w:asciiTheme="majorEastAsia" w:hAnsiTheme="majorEastAsia" w:eastAsiaTheme="majorEastAsia"/>
        </w:rPr>
      </w:pPr>
      <w:r>
        <w:rPr>
          <w:rFonts w:hint="eastAsia" w:asciiTheme="majorEastAsia" w:hAnsiTheme="majorEastAsia" w:eastAsiaTheme="majorEastAsia"/>
        </w:rPr>
        <w:t>（一）高速公路网加快形成，提升区域枢纽地位</w:t>
      </w:r>
    </w:p>
    <w:p>
      <w:pPr>
        <w:ind w:firstLine="560" w:firstLineChars="200"/>
        <w:rPr>
          <w:rFonts w:asciiTheme="majorEastAsia" w:hAnsiTheme="majorEastAsia" w:eastAsiaTheme="majorEastAsia"/>
        </w:rPr>
      </w:pPr>
      <w:bookmarkStart w:id="126" w:name="_Hlk66383920"/>
      <w:r>
        <w:rPr>
          <w:rFonts w:hint="eastAsia" w:asciiTheme="majorEastAsia" w:hAnsiTheme="majorEastAsia" w:eastAsiaTheme="majorEastAsia"/>
        </w:rPr>
        <w:t>“十三五”期间，全市高速公路建设实现新跨越，</w:t>
      </w:r>
      <w:r>
        <w:rPr>
          <w:rFonts w:asciiTheme="majorEastAsia" w:hAnsiTheme="majorEastAsia" w:eastAsiaTheme="majorEastAsia"/>
        </w:rPr>
        <w:t>全</w:t>
      </w:r>
      <w:r>
        <w:rPr>
          <w:rFonts w:hint="eastAsia" w:asciiTheme="majorEastAsia" w:hAnsiTheme="majorEastAsia" w:eastAsiaTheme="majorEastAsia"/>
        </w:rPr>
        <w:t>市已建在建</w:t>
      </w:r>
      <w:r>
        <w:rPr>
          <w:rFonts w:asciiTheme="majorEastAsia" w:hAnsiTheme="majorEastAsia" w:eastAsiaTheme="majorEastAsia"/>
        </w:rPr>
        <w:t>高速公路项目</w:t>
      </w:r>
      <w:r>
        <w:rPr>
          <w:rFonts w:hint="eastAsia" w:asciiTheme="majorEastAsia" w:hAnsiTheme="majorEastAsia" w:eastAsiaTheme="majorEastAsia"/>
        </w:rPr>
        <w:t>5</w:t>
      </w:r>
      <w:r>
        <w:rPr>
          <w:rFonts w:asciiTheme="majorEastAsia" w:hAnsiTheme="majorEastAsia" w:eastAsiaTheme="majorEastAsia"/>
        </w:rPr>
        <w:t>个，建设总规模231公里</w:t>
      </w:r>
      <w:r>
        <w:rPr>
          <w:rFonts w:hint="eastAsia" w:asciiTheme="majorEastAsia" w:hAnsiTheme="majorEastAsia" w:eastAsiaTheme="majorEastAsia"/>
        </w:rPr>
        <w:t>。先后建成水兴高速盘兴段、杭瑞高速毕都段、都香高速六威段等重点公路项目，全市已建成“三横一纵一环</w:t>
      </w:r>
      <w:bookmarkEnd w:id="125"/>
      <w:bookmarkEnd w:id="126"/>
      <w:r>
        <w:rPr>
          <w:rFonts w:hint="eastAsia" w:asciiTheme="majorEastAsia" w:hAnsiTheme="majorEastAsia" w:eastAsiaTheme="majorEastAsia"/>
        </w:rPr>
        <w:t>线”的高速公路网，高速公路通车里程达到440公里，</w:t>
      </w:r>
      <w:bookmarkStart w:id="127" w:name="_Hlk65594558"/>
      <w:r>
        <w:rPr>
          <w:rFonts w:hint="eastAsia" w:asciiTheme="majorEastAsia" w:hAnsiTheme="majorEastAsia" w:eastAsiaTheme="majorEastAsia"/>
        </w:rPr>
        <w:t>高速公路密度按国土面积计算为4.41公里/百平方公里，排名全省第三。</w:t>
      </w:r>
      <w:bookmarkEnd w:id="127"/>
      <w:r>
        <w:rPr>
          <w:rFonts w:hint="eastAsia" w:asciiTheme="majorEastAsia" w:hAnsiTheme="majorEastAsia" w:eastAsiaTheme="majorEastAsia"/>
        </w:rPr>
        <w:t>对外通道增至7个，与周边市州全部实现高速公路连接，构建了“北接成渝、东靠黔中、南接大湾区、联动陆海新通道”的交通运输大通道，有力服务支撑地方经济发展，进一步巩固六盘水市“四省立交桥”的交通枢纽地位，正成为推动全市经济社会发展最强劲的“动脉血管”。实现六盘水与周边城市双通道连接，吸引威宁、纳雍等周边地区人员向市中心聚集，带动了旅游产业发展，高速公路人流量逐年递增，为全市经济持续平稳较快发展提供了最重要的基础支撑。</w:t>
      </w:r>
    </w:p>
    <w:p>
      <w:pPr>
        <w:jc w:val="center"/>
        <w:rPr>
          <w:rFonts w:asciiTheme="majorEastAsia" w:hAnsiTheme="majorEastAsia" w:eastAsiaTheme="majorEastAsia"/>
          <w:b/>
          <w:sz w:val="24"/>
          <w:szCs w:val="22"/>
        </w:rPr>
      </w:pPr>
      <w:r>
        <w:rPr>
          <w:rFonts w:asciiTheme="majorEastAsia" w:hAnsiTheme="majorEastAsia" w:eastAsiaTheme="majorEastAsia"/>
          <w:b/>
          <w:sz w:val="24"/>
          <w:szCs w:val="22"/>
        </w:rPr>
        <w:t>表2-2  “十三五”期间高速公路项目建设情况表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45"/>
        <w:gridCol w:w="3855"/>
        <w:gridCol w:w="660"/>
        <w:gridCol w:w="1342"/>
        <w:gridCol w:w="872"/>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1" w:hRule="atLeast"/>
          <w:jc w:val="center"/>
        </w:trPr>
        <w:tc>
          <w:tcPr>
            <w:tcW w:w="327" w:type="pct"/>
            <w:vMerge w:val="restart"/>
            <w:vAlign w:val="center"/>
          </w:tcPr>
          <w:p>
            <w:pPr>
              <w:widowControl/>
              <w:spacing w:line="240" w:lineRule="auto"/>
              <w:jc w:val="center"/>
              <w:textAlignment w:val="center"/>
              <w:rPr>
                <w:rFonts w:asciiTheme="majorEastAsia" w:hAnsiTheme="majorEastAsia" w:eastAsiaTheme="majorEastAsia"/>
                <w:b/>
                <w:sz w:val="20"/>
                <w:szCs w:val="20"/>
              </w:rPr>
            </w:pPr>
            <w:r>
              <w:rPr>
                <w:rFonts w:asciiTheme="majorEastAsia" w:hAnsiTheme="majorEastAsia" w:eastAsiaTheme="majorEastAsia"/>
                <w:b/>
                <w:sz w:val="20"/>
                <w:szCs w:val="20"/>
              </w:rPr>
              <w:t>序号</w:t>
            </w:r>
          </w:p>
        </w:tc>
        <w:tc>
          <w:tcPr>
            <w:tcW w:w="2312" w:type="pct"/>
            <w:vMerge w:val="restart"/>
            <w:vAlign w:val="center"/>
          </w:tcPr>
          <w:p>
            <w:pPr>
              <w:widowControl/>
              <w:spacing w:line="240" w:lineRule="auto"/>
              <w:jc w:val="center"/>
              <w:textAlignment w:val="center"/>
              <w:rPr>
                <w:rFonts w:asciiTheme="majorEastAsia" w:hAnsiTheme="majorEastAsia" w:eastAsiaTheme="majorEastAsia"/>
                <w:b/>
                <w:sz w:val="20"/>
                <w:szCs w:val="20"/>
              </w:rPr>
            </w:pPr>
            <w:r>
              <w:rPr>
                <w:rFonts w:asciiTheme="majorEastAsia" w:hAnsiTheme="majorEastAsia" w:eastAsiaTheme="majorEastAsia"/>
                <w:b/>
                <w:sz w:val="20"/>
                <w:szCs w:val="20"/>
              </w:rPr>
              <w:t>项目名称</w:t>
            </w:r>
          </w:p>
        </w:tc>
        <w:tc>
          <w:tcPr>
            <w:tcW w:w="396" w:type="pct"/>
            <w:vMerge w:val="restart"/>
            <w:vAlign w:val="center"/>
          </w:tcPr>
          <w:p>
            <w:pPr>
              <w:widowControl/>
              <w:spacing w:line="240" w:lineRule="auto"/>
              <w:jc w:val="center"/>
              <w:textAlignment w:val="center"/>
              <w:rPr>
                <w:rFonts w:asciiTheme="majorEastAsia" w:hAnsiTheme="majorEastAsia" w:eastAsiaTheme="majorEastAsia"/>
                <w:b/>
                <w:sz w:val="20"/>
                <w:szCs w:val="20"/>
              </w:rPr>
            </w:pPr>
            <w:r>
              <w:rPr>
                <w:rFonts w:asciiTheme="majorEastAsia" w:hAnsiTheme="majorEastAsia" w:eastAsiaTheme="majorEastAsia"/>
                <w:b/>
                <w:sz w:val="20"/>
                <w:szCs w:val="20"/>
              </w:rPr>
              <w:t>建设</w:t>
            </w:r>
          </w:p>
          <w:p>
            <w:pPr>
              <w:widowControl/>
              <w:spacing w:line="240" w:lineRule="auto"/>
              <w:jc w:val="center"/>
              <w:textAlignment w:val="center"/>
              <w:rPr>
                <w:rFonts w:asciiTheme="majorEastAsia" w:hAnsiTheme="majorEastAsia" w:eastAsiaTheme="majorEastAsia"/>
                <w:b/>
                <w:sz w:val="20"/>
                <w:szCs w:val="20"/>
              </w:rPr>
            </w:pPr>
            <w:r>
              <w:rPr>
                <w:rFonts w:asciiTheme="majorEastAsia" w:hAnsiTheme="majorEastAsia" w:eastAsiaTheme="majorEastAsia"/>
                <w:b/>
                <w:sz w:val="20"/>
                <w:szCs w:val="20"/>
              </w:rPr>
              <w:t>性质</w:t>
            </w:r>
          </w:p>
        </w:tc>
        <w:tc>
          <w:tcPr>
            <w:tcW w:w="805" w:type="pct"/>
            <w:vAlign w:val="center"/>
          </w:tcPr>
          <w:p>
            <w:pPr>
              <w:widowControl/>
              <w:spacing w:line="240" w:lineRule="auto"/>
              <w:jc w:val="center"/>
              <w:textAlignment w:val="center"/>
              <w:rPr>
                <w:rFonts w:asciiTheme="majorEastAsia" w:hAnsiTheme="majorEastAsia" w:eastAsiaTheme="majorEastAsia"/>
                <w:b/>
                <w:sz w:val="20"/>
                <w:szCs w:val="20"/>
              </w:rPr>
            </w:pPr>
            <w:r>
              <w:rPr>
                <w:rFonts w:asciiTheme="majorEastAsia" w:hAnsiTheme="majorEastAsia" w:eastAsiaTheme="majorEastAsia"/>
                <w:b/>
                <w:sz w:val="20"/>
                <w:szCs w:val="20"/>
              </w:rPr>
              <w:t>规模标准</w:t>
            </w:r>
          </w:p>
        </w:tc>
        <w:tc>
          <w:tcPr>
            <w:tcW w:w="1160" w:type="pct"/>
            <w:gridSpan w:val="2"/>
            <w:vMerge w:val="restart"/>
            <w:vAlign w:val="center"/>
          </w:tcPr>
          <w:p>
            <w:pPr>
              <w:widowControl/>
              <w:spacing w:line="240" w:lineRule="auto"/>
              <w:jc w:val="center"/>
              <w:textAlignment w:val="center"/>
              <w:rPr>
                <w:rFonts w:asciiTheme="majorEastAsia" w:hAnsiTheme="majorEastAsia" w:eastAsiaTheme="majorEastAsia"/>
                <w:b/>
                <w:sz w:val="20"/>
                <w:szCs w:val="20"/>
              </w:rPr>
            </w:pPr>
            <w:r>
              <w:rPr>
                <w:rFonts w:asciiTheme="majorEastAsia" w:hAnsiTheme="majorEastAsia" w:eastAsiaTheme="majorEastAsia"/>
                <w:b/>
                <w:sz w:val="20"/>
                <w:szCs w:val="20"/>
              </w:rPr>
              <w:t>建设起止年限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 w:hRule="atLeast"/>
          <w:jc w:val="center"/>
        </w:trPr>
        <w:tc>
          <w:tcPr>
            <w:tcW w:w="327" w:type="pct"/>
            <w:vMerge w:val="continue"/>
            <w:vAlign w:val="center"/>
          </w:tcPr>
          <w:p>
            <w:pPr>
              <w:widowControl/>
              <w:spacing w:line="240" w:lineRule="auto"/>
              <w:jc w:val="center"/>
              <w:textAlignment w:val="center"/>
              <w:rPr>
                <w:rFonts w:asciiTheme="majorEastAsia" w:hAnsiTheme="majorEastAsia" w:eastAsiaTheme="majorEastAsia"/>
                <w:b/>
                <w:sz w:val="20"/>
                <w:szCs w:val="20"/>
              </w:rPr>
            </w:pPr>
          </w:p>
        </w:tc>
        <w:tc>
          <w:tcPr>
            <w:tcW w:w="2312" w:type="pct"/>
            <w:vMerge w:val="continue"/>
            <w:vAlign w:val="center"/>
          </w:tcPr>
          <w:p>
            <w:pPr>
              <w:widowControl/>
              <w:spacing w:line="240" w:lineRule="auto"/>
              <w:jc w:val="center"/>
              <w:textAlignment w:val="center"/>
              <w:rPr>
                <w:rFonts w:asciiTheme="majorEastAsia" w:hAnsiTheme="majorEastAsia" w:eastAsiaTheme="majorEastAsia"/>
                <w:b/>
                <w:sz w:val="20"/>
                <w:szCs w:val="20"/>
              </w:rPr>
            </w:pPr>
          </w:p>
        </w:tc>
        <w:tc>
          <w:tcPr>
            <w:tcW w:w="396" w:type="pct"/>
            <w:vMerge w:val="continue"/>
            <w:vAlign w:val="center"/>
          </w:tcPr>
          <w:p>
            <w:pPr>
              <w:widowControl/>
              <w:spacing w:line="240" w:lineRule="auto"/>
              <w:jc w:val="center"/>
              <w:textAlignment w:val="center"/>
              <w:rPr>
                <w:rFonts w:asciiTheme="majorEastAsia" w:hAnsiTheme="majorEastAsia" w:eastAsiaTheme="majorEastAsia"/>
                <w:b/>
                <w:sz w:val="20"/>
                <w:szCs w:val="20"/>
              </w:rPr>
            </w:pPr>
          </w:p>
        </w:tc>
        <w:tc>
          <w:tcPr>
            <w:tcW w:w="805" w:type="pct"/>
            <w:vAlign w:val="center"/>
          </w:tcPr>
          <w:p>
            <w:pPr>
              <w:widowControl/>
              <w:spacing w:line="240" w:lineRule="auto"/>
              <w:jc w:val="center"/>
              <w:textAlignment w:val="center"/>
              <w:rPr>
                <w:rFonts w:asciiTheme="majorEastAsia" w:hAnsiTheme="majorEastAsia" w:eastAsiaTheme="majorEastAsia"/>
                <w:b/>
                <w:sz w:val="20"/>
                <w:szCs w:val="20"/>
              </w:rPr>
            </w:pPr>
            <w:r>
              <w:rPr>
                <w:rFonts w:asciiTheme="majorEastAsia" w:hAnsiTheme="majorEastAsia" w:eastAsiaTheme="majorEastAsia"/>
                <w:b/>
                <w:sz w:val="20"/>
                <w:szCs w:val="20"/>
              </w:rPr>
              <w:t>高速（公里）</w:t>
            </w:r>
          </w:p>
        </w:tc>
        <w:tc>
          <w:tcPr>
            <w:tcW w:w="1160" w:type="pct"/>
            <w:gridSpan w:val="2"/>
            <w:vMerge w:val="continue"/>
            <w:vAlign w:val="center"/>
          </w:tcPr>
          <w:p>
            <w:pPr>
              <w:widowControl/>
              <w:spacing w:line="240" w:lineRule="auto"/>
              <w:jc w:val="center"/>
              <w:textAlignment w:val="center"/>
              <w:rPr>
                <w:rFonts w:asciiTheme="majorEastAsia" w:hAnsiTheme="majorEastAsia" w:eastAsiaTheme="major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1" w:hRule="atLeast"/>
          <w:jc w:val="center"/>
        </w:trPr>
        <w:tc>
          <w:tcPr>
            <w:tcW w:w="327" w:type="pct"/>
            <w:vAlign w:val="center"/>
          </w:tcPr>
          <w:p>
            <w:pPr>
              <w:widowControl/>
              <w:spacing w:line="240" w:lineRule="auto"/>
              <w:jc w:val="center"/>
              <w:textAlignment w:val="center"/>
              <w:rPr>
                <w:rFonts w:asciiTheme="majorEastAsia" w:hAnsiTheme="majorEastAsia" w:eastAsiaTheme="majorEastAsia"/>
                <w:sz w:val="20"/>
                <w:szCs w:val="20"/>
              </w:rPr>
            </w:pPr>
          </w:p>
        </w:tc>
        <w:tc>
          <w:tcPr>
            <w:tcW w:w="2312" w:type="pct"/>
            <w:vAlign w:val="center"/>
          </w:tcPr>
          <w:p>
            <w:pPr>
              <w:widowControl/>
              <w:spacing w:line="240" w:lineRule="auto"/>
              <w:jc w:val="center"/>
              <w:textAlignment w:val="center"/>
              <w:rPr>
                <w:rFonts w:asciiTheme="majorEastAsia" w:hAnsiTheme="majorEastAsia" w:eastAsiaTheme="majorEastAsia"/>
                <w:b/>
                <w:bCs/>
                <w:sz w:val="20"/>
                <w:szCs w:val="20"/>
              </w:rPr>
            </w:pPr>
            <w:r>
              <w:rPr>
                <w:rFonts w:asciiTheme="majorEastAsia" w:hAnsiTheme="majorEastAsia" w:eastAsiaTheme="majorEastAsia"/>
                <w:b/>
                <w:bCs/>
                <w:sz w:val="20"/>
                <w:szCs w:val="20"/>
              </w:rPr>
              <w:t>合   计</w:t>
            </w:r>
          </w:p>
        </w:tc>
        <w:tc>
          <w:tcPr>
            <w:tcW w:w="396" w:type="pct"/>
            <w:vAlign w:val="center"/>
          </w:tcPr>
          <w:p>
            <w:pPr>
              <w:widowControl/>
              <w:spacing w:line="240" w:lineRule="auto"/>
              <w:jc w:val="center"/>
              <w:textAlignment w:val="center"/>
              <w:rPr>
                <w:rFonts w:asciiTheme="majorEastAsia" w:hAnsiTheme="majorEastAsia" w:eastAsiaTheme="majorEastAsia"/>
                <w:b/>
                <w:bCs/>
                <w:sz w:val="20"/>
                <w:szCs w:val="20"/>
              </w:rPr>
            </w:pPr>
          </w:p>
        </w:tc>
        <w:tc>
          <w:tcPr>
            <w:tcW w:w="805" w:type="pct"/>
            <w:vAlign w:val="center"/>
          </w:tcPr>
          <w:p>
            <w:pPr>
              <w:widowControl/>
              <w:spacing w:line="240" w:lineRule="auto"/>
              <w:jc w:val="center"/>
              <w:textAlignment w:val="center"/>
              <w:rPr>
                <w:rFonts w:asciiTheme="majorEastAsia" w:hAnsiTheme="majorEastAsia" w:eastAsiaTheme="majorEastAsia"/>
                <w:b/>
                <w:bCs/>
                <w:sz w:val="20"/>
                <w:szCs w:val="20"/>
              </w:rPr>
            </w:pPr>
            <w:r>
              <w:rPr>
                <w:rFonts w:asciiTheme="majorEastAsia" w:hAnsiTheme="majorEastAsia" w:eastAsiaTheme="majorEastAsia"/>
                <w:b/>
                <w:bCs/>
                <w:sz w:val="20"/>
                <w:szCs w:val="20"/>
              </w:rPr>
              <w:t>231</w:t>
            </w:r>
          </w:p>
        </w:tc>
        <w:tc>
          <w:tcPr>
            <w:tcW w:w="523" w:type="pct"/>
            <w:vAlign w:val="center"/>
          </w:tcPr>
          <w:p>
            <w:pPr>
              <w:widowControl/>
              <w:spacing w:line="240" w:lineRule="auto"/>
              <w:jc w:val="center"/>
              <w:textAlignment w:val="center"/>
              <w:rPr>
                <w:rFonts w:asciiTheme="majorEastAsia" w:hAnsiTheme="majorEastAsia" w:eastAsiaTheme="majorEastAsia"/>
                <w:sz w:val="20"/>
                <w:szCs w:val="20"/>
              </w:rPr>
            </w:pPr>
          </w:p>
        </w:tc>
        <w:tc>
          <w:tcPr>
            <w:tcW w:w="637" w:type="pct"/>
            <w:vAlign w:val="center"/>
          </w:tcPr>
          <w:p>
            <w:pPr>
              <w:widowControl/>
              <w:spacing w:line="240" w:lineRule="auto"/>
              <w:jc w:val="center"/>
              <w:textAlignment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1" w:hRule="atLeast"/>
          <w:jc w:val="center"/>
        </w:trPr>
        <w:tc>
          <w:tcPr>
            <w:tcW w:w="3035" w:type="pct"/>
            <w:gridSpan w:val="3"/>
            <w:vAlign w:val="center"/>
          </w:tcPr>
          <w:p>
            <w:pPr>
              <w:widowControl/>
              <w:spacing w:line="240" w:lineRule="auto"/>
              <w:jc w:val="center"/>
              <w:textAlignment w:val="center"/>
              <w:rPr>
                <w:rFonts w:asciiTheme="majorEastAsia" w:hAnsiTheme="majorEastAsia" w:eastAsiaTheme="majorEastAsia"/>
                <w:b/>
                <w:bCs/>
                <w:sz w:val="20"/>
                <w:szCs w:val="20"/>
              </w:rPr>
            </w:pPr>
            <w:r>
              <w:rPr>
                <w:rFonts w:asciiTheme="majorEastAsia" w:hAnsiTheme="majorEastAsia" w:eastAsiaTheme="majorEastAsia"/>
                <w:b/>
                <w:bCs/>
                <w:sz w:val="20"/>
                <w:szCs w:val="20"/>
              </w:rPr>
              <w:t>一、“十二五”跨“十三五”项目</w:t>
            </w:r>
          </w:p>
        </w:tc>
        <w:tc>
          <w:tcPr>
            <w:tcW w:w="805" w:type="pct"/>
            <w:vAlign w:val="center"/>
          </w:tcPr>
          <w:p>
            <w:pPr>
              <w:spacing w:line="240" w:lineRule="auto"/>
              <w:jc w:val="center"/>
              <w:rPr>
                <w:rFonts w:asciiTheme="majorEastAsia" w:hAnsiTheme="majorEastAsia" w:eastAsiaTheme="majorEastAsia"/>
                <w:sz w:val="20"/>
                <w:szCs w:val="20"/>
              </w:rPr>
            </w:pPr>
            <w:r>
              <w:rPr>
                <w:rFonts w:asciiTheme="majorEastAsia" w:hAnsiTheme="majorEastAsia" w:eastAsiaTheme="majorEastAsia"/>
                <w:sz w:val="20"/>
                <w:szCs w:val="20"/>
              </w:rPr>
              <w:t>62</w:t>
            </w:r>
          </w:p>
        </w:tc>
        <w:tc>
          <w:tcPr>
            <w:tcW w:w="523" w:type="pct"/>
            <w:vAlign w:val="center"/>
          </w:tcPr>
          <w:p>
            <w:pPr>
              <w:spacing w:line="240" w:lineRule="auto"/>
              <w:jc w:val="center"/>
              <w:rPr>
                <w:rFonts w:asciiTheme="majorEastAsia" w:hAnsiTheme="majorEastAsia" w:eastAsiaTheme="majorEastAsia"/>
                <w:sz w:val="20"/>
                <w:szCs w:val="20"/>
              </w:rPr>
            </w:pPr>
          </w:p>
        </w:tc>
        <w:tc>
          <w:tcPr>
            <w:tcW w:w="637" w:type="pct"/>
            <w:vAlign w:val="center"/>
          </w:tcPr>
          <w:p>
            <w:pPr>
              <w:spacing w:line="240" w:lineRule="auto"/>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327" w:type="pct"/>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1</w:t>
            </w:r>
          </w:p>
        </w:tc>
        <w:tc>
          <w:tcPr>
            <w:tcW w:w="2312" w:type="pct"/>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盘州至兴义高速公路</w:t>
            </w:r>
          </w:p>
        </w:tc>
        <w:tc>
          <w:tcPr>
            <w:tcW w:w="396" w:type="pct"/>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新建</w:t>
            </w:r>
          </w:p>
        </w:tc>
        <w:tc>
          <w:tcPr>
            <w:tcW w:w="805" w:type="pct"/>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62</w:t>
            </w:r>
          </w:p>
        </w:tc>
        <w:tc>
          <w:tcPr>
            <w:tcW w:w="523"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201</w:t>
            </w:r>
            <w:r>
              <w:rPr>
                <w:rFonts w:hint="eastAsia" w:asciiTheme="majorEastAsia" w:hAnsiTheme="majorEastAsia" w:eastAsiaTheme="majorEastAsia"/>
                <w:sz w:val="20"/>
                <w:szCs w:val="20"/>
              </w:rPr>
              <w:t>3</w:t>
            </w:r>
          </w:p>
        </w:tc>
        <w:tc>
          <w:tcPr>
            <w:tcW w:w="637"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1" w:hRule="atLeast"/>
          <w:jc w:val="center"/>
        </w:trPr>
        <w:tc>
          <w:tcPr>
            <w:tcW w:w="3035" w:type="pct"/>
            <w:gridSpan w:val="3"/>
            <w:vAlign w:val="center"/>
          </w:tcPr>
          <w:p>
            <w:pPr>
              <w:widowControl/>
              <w:spacing w:line="240" w:lineRule="auto"/>
              <w:jc w:val="center"/>
              <w:textAlignment w:val="center"/>
              <w:rPr>
                <w:rFonts w:asciiTheme="majorEastAsia" w:hAnsiTheme="majorEastAsia" w:eastAsiaTheme="majorEastAsia"/>
                <w:b/>
                <w:bCs/>
                <w:sz w:val="20"/>
                <w:szCs w:val="20"/>
              </w:rPr>
            </w:pPr>
            <w:r>
              <w:rPr>
                <w:rFonts w:asciiTheme="majorEastAsia" w:hAnsiTheme="majorEastAsia" w:eastAsiaTheme="majorEastAsia"/>
                <w:b/>
                <w:bCs/>
                <w:sz w:val="20"/>
                <w:szCs w:val="20"/>
              </w:rPr>
              <w:t>二、“十三五”项目</w:t>
            </w:r>
          </w:p>
        </w:tc>
        <w:tc>
          <w:tcPr>
            <w:tcW w:w="805" w:type="pct"/>
            <w:vAlign w:val="center"/>
          </w:tcPr>
          <w:p>
            <w:pPr>
              <w:spacing w:line="240" w:lineRule="auto"/>
              <w:jc w:val="center"/>
              <w:rPr>
                <w:rFonts w:asciiTheme="majorEastAsia" w:hAnsiTheme="majorEastAsia" w:eastAsiaTheme="majorEastAsia"/>
                <w:b/>
                <w:bCs/>
                <w:sz w:val="20"/>
                <w:szCs w:val="20"/>
              </w:rPr>
            </w:pPr>
            <w:r>
              <w:rPr>
                <w:rFonts w:asciiTheme="majorEastAsia" w:hAnsiTheme="majorEastAsia" w:eastAsiaTheme="majorEastAsia"/>
                <w:b/>
                <w:bCs/>
                <w:sz w:val="20"/>
                <w:szCs w:val="20"/>
              </w:rPr>
              <w:t>60</w:t>
            </w:r>
          </w:p>
        </w:tc>
        <w:tc>
          <w:tcPr>
            <w:tcW w:w="523" w:type="pct"/>
            <w:vAlign w:val="center"/>
          </w:tcPr>
          <w:p>
            <w:pPr>
              <w:spacing w:line="240" w:lineRule="auto"/>
              <w:jc w:val="center"/>
              <w:rPr>
                <w:rFonts w:asciiTheme="majorEastAsia" w:hAnsiTheme="majorEastAsia" w:eastAsiaTheme="majorEastAsia"/>
                <w:sz w:val="20"/>
                <w:szCs w:val="20"/>
              </w:rPr>
            </w:pPr>
          </w:p>
        </w:tc>
        <w:tc>
          <w:tcPr>
            <w:tcW w:w="637" w:type="pct"/>
            <w:vAlign w:val="center"/>
          </w:tcPr>
          <w:p>
            <w:pPr>
              <w:spacing w:line="240" w:lineRule="auto"/>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9" w:hRule="atLeast"/>
          <w:jc w:val="center"/>
        </w:trPr>
        <w:tc>
          <w:tcPr>
            <w:tcW w:w="327" w:type="pct"/>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1</w:t>
            </w:r>
          </w:p>
        </w:tc>
        <w:tc>
          <w:tcPr>
            <w:tcW w:w="2312" w:type="pct"/>
            <w:shd w:val="clear" w:color="000000" w:fill="FFFFFF"/>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六盘水至威宁高速公路</w:t>
            </w:r>
          </w:p>
        </w:tc>
        <w:tc>
          <w:tcPr>
            <w:tcW w:w="396"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新建</w:t>
            </w:r>
          </w:p>
        </w:tc>
        <w:tc>
          <w:tcPr>
            <w:tcW w:w="805"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60</w:t>
            </w:r>
          </w:p>
        </w:tc>
        <w:tc>
          <w:tcPr>
            <w:tcW w:w="523"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2016</w:t>
            </w:r>
          </w:p>
        </w:tc>
        <w:tc>
          <w:tcPr>
            <w:tcW w:w="637"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1" w:hRule="atLeast"/>
          <w:jc w:val="center"/>
        </w:trPr>
        <w:tc>
          <w:tcPr>
            <w:tcW w:w="3035" w:type="pct"/>
            <w:gridSpan w:val="3"/>
            <w:vAlign w:val="center"/>
          </w:tcPr>
          <w:p>
            <w:pPr>
              <w:widowControl/>
              <w:spacing w:line="240" w:lineRule="auto"/>
              <w:jc w:val="center"/>
              <w:textAlignment w:val="center"/>
              <w:rPr>
                <w:rFonts w:asciiTheme="majorEastAsia" w:hAnsiTheme="majorEastAsia" w:eastAsiaTheme="majorEastAsia"/>
                <w:b/>
                <w:bCs/>
                <w:sz w:val="20"/>
                <w:szCs w:val="20"/>
              </w:rPr>
            </w:pPr>
            <w:r>
              <w:rPr>
                <w:rFonts w:asciiTheme="majorEastAsia" w:hAnsiTheme="majorEastAsia" w:eastAsiaTheme="majorEastAsia"/>
                <w:b/>
                <w:bCs/>
                <w:sz w:val="20"/>
                <w:szCs w:val="20"/>
              </w:rPr>
              <w:t>三、“十三五”跨“十四五”项目</w:t>
            </w:r>
          </w:p>
        </w:tc>
        <w:tc>
          <w:tcPr>
            <w:tcW w:w="805" w:type="pct"/>
            <w:vAlign w:val="center"/>
          </w:tcPr>
          <w:p>
            <w:pPr>
              <w:spacing w:line="240" w:lineRule="auto"/>
              <w:jc w:val="center"/>
              <w:rPr>
                <w:rFonts w:asciiTheme="majorEastAsia" w:hAnsiTheme="majorEastAsia" w:eastAsiaTheme="majorEastAsia"/>
                <w:b/>
                <w:bCs/>
                <w:sz w:val="20"/>
                <w:szCs w:val="20"/>
              </w:rPr>
            </w:pPr>
            <w:r>
              <w:rPr>
                <w:rFonts w:asciiTheme="majorEastAsia" w:hAnsiTheme="majorEastAsia" w:eastAsiaTheme="majorEastAsia"/>
                <w:b/>
                <w:bCs/>
                <w:sz w:val="20"/>
                <w:szCs w:val="20"/>
              </w:rPr>
              <w:t>109</w:t>
            </w:r>
          </w:p>
        </w:tc>
        <w:tc>
          <w:tcPr>
            <w:tcW w:w="523" w:type="pct"/>
            <w:vAlign w:val="center"/>
          </w:tcPr>
          <w:p>
            <w:pPr>
              <w:spacing w:line="240" w:lineRule="auto"/>
              <w:jc w:val="center"/>
              <w:rPr>
                <w:rFonts w:asciiTheme="majorEastAsia" w:hAnsiTheme="majorEastAsia" w:eastAsiaTheme="majorEastAsia"/>
                <w:sz w:val="20"/>
                <w:szCs w:val="20"/>
              </w:rPr>
            </w:pPr>
          </w:p>
        </w:tc>
        <w:tc>
          <w:tcPr>
            <w:tcW w:w="637" w:type="pct"/>
            <w:vAlign w:val="center"/>
          </w:tcPr>
          <w:p>
            <w:pPr>
              <w:spacing w:line="240" w:lineRule="auto"/>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6" w:hRule="atLeast"/>
          <w:jc w:val="center"/>
        </w:trPr>
        <w:tc>
          <w:tcPr>
            <w:tcW w:w="327" w:type="pct"/>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1</w:t>
            </w:r>
          </w:p>
        </w:tc>
        <w:tc>
          <w:tcPr>
            <w:tcW w:w="2312"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纳雍至晴隆高速公路</w:t>
            </w:r>
          </w:p>
        </w:tc>
        <w:tc>
          <w:tcPr>
            <w:tcW w:w="396"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新建</w:t>
            </w:r>
          </w:p>
        </w:tc>
        <w:tc>
          <w:tcPr>
            <w:tcW w:w="805" w:type="pct"/>
            <w:shd w:val="clear" w:color="000000" w:fill="FFFFFF"/>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60</w:t>
            </w:r>
          </w:p>
        </w:tc>
        <w:tc>
          <w:tcPr>
            <w:tcW w:w="523"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20</w:t>
            </w:r>
            <w:r>
              <w:rPr>
                <w:rFonts w:hint="eastAsia" w:asciiTheme="majorEastAsia" w:hAnsiTheme="majorEastAsia" w:eastAsiaTheme="majorEastAsia"/>
                <w:sz w:val="20"/>
                <w:szCs w:val="20"/>
              </w:rPr>
              <w:t>20</w:t>
            </w:r>
          </w:p>
        </w:tc>
        <w:tc>
          <w:tcPr>
            <w:tcW w:w="637"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202</w:t>
            </w:r>
            <w:r>
              <w:rPr>
                <w:rFonts w:hint="eastAsia" w:asciiTheme="majorEastAsia" w:hAnsiTheme="majorEastAsia" w:eastAsiaTheme="majorEastAsia"/>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6" w:hRule="atLeast"/>
          <w:jc w:val="center"/>
        </w:trPr>
        <w:tc>
          <w:tcPr>
            <w:tcW w:w="327" w:type="pct"/>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2</w:t>
            </w:r>
          </w:p>
        </w:tc>
        <w:tc>
          <w:tcPr>
            <w:tcW w:w="2312"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六枝至安龙高速公路</w:t>
            </w:r>
          </w:p>
        </w:tc>
        <w:tc>
          <w:tcPr>
            <w:tcW w:w="396"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新建</w:t>
            </w:r>
          </w:p>
        </w:tc>
        <w:tc>
          <w:tcPr>
            <w:tcW w:w="805" w:type="pct"/>
            <w:shd w:val="clear" w:color="000000" w:fill="FFFFFF"/>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20</w:t>
            </w:r>
          </w:p>
        </w:tc>
        <w:tc>
          <w:tcPr>
            <w:tcW w:w="523"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20</w:t>
            </w:r>
            <w:r>
              <w:rPr>
                <w:rFonts w:hint="eastAsia" w:asciiTheme="majorEastAsia" w:hAnsiTheme="majorEastAsia" w:eastAsiaTheme="majorEastAsia"/>
                <w:sz w:val="20"/>
                <w:szCs w:val="20"/>
              </w:rPr>
              <w:t>20</w:t>
            </w:r>
          </w:p>
        </w:tc>
        <w:tc>
          <w:tcPr>
            <w:tcW w:w="637"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202</w:t>
            </w:r>
            <w:r>
              <w:rPr>
                <w:rFonts w:hint="eastAsia" w:asciiTheme="majorEastAsia" w:hAnsiTheme="majorEastAsia" w:eastAsiaTheme="majorEastAsia"/>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6" w:hRule="atLeast"/>
          <w:jc w:val="center"/>
        </w:trPr>
        <w:tc>
          <w:tcPr>
            <w:tcW w:w="327" w:type="pct"/>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3</w:t>
            </w:r>
          </w:p>
        </w:tc>
        <w:tc>
          <w:tcPr>
            <w:tcW w:w="2312"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六盘水至赫章高速公路</w:t>
            </w:r>
          </w:p>
        </w:tc>
        <w:tc>
          <w:tcPr>
            <w:tcW w:w="396"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新建</w:t>
            </w:r>
          </w:p>
        </w:tc>
        <w:tc>
          <w:tcPr>
            <w:tcW w:w="805" w:type="pct"/>
            <w:shd w:val="clear" w:color="000000" w:fill="FFFFFF"/>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29</w:t>
            </w:r>
          </w:p>
        </w:tc>
        <w:tc>
          <w:tcPr>
            <w:tcW w:w="523"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2017</w:t>
            </w:r>
          </w:p>
        </w:tc>
        <w:tc>
          <w:tcPr>
            <w:tcW w:w="637"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20</w:t>
            </w:r>
            <w:r>
              <w:rPr>
                <w:rFonts w:hint="eastAsia" w:asciiTheme="majorEastAsia" w:hAnsiTheme="majorEastAsia" w:eastAsiaTheme="majorEastAsia"/>
                <w:sz w:val="20"/>
                <w:szCs w:val="20"/>
              </w:rPr>
              <w:t>2</w:t>
            </w:r>
            <w:r>
              <w:rPr>
                <w:rFonts w:asciiTheme="majorEastAsia" w:hAnsiTheme="majorEastAsia" w:eastAsiaTheme="majorEastAsia"/>
                <w:sz w:val="20"/>
                <w:szCs w:val="20"/>
              </w:rPr>
              <w:t>1</w:t>
            </w:r>
          </w:p>
        </w:tc>
      </w:tr>
    </w:tbl>
    <w:p>
      <w:pPr>
        <w:pStyle w:val="6"/>
        <w:rPr>
          <w:rFonts w:asciiTheme="majorEastAsia" w:hAnsiTheme="majorEastAsia" w:eastAsiaTheme="majorEastAsia"/>
        </w:rPr>
      </w:pPr>
      <w:r>
        <w:rPr>
          <w:rFonts w:hint="eastAsia" w:asciiTheme="majorEastAsia" w:hAnsiTheme="majorEastAsia" w:eastAsiaTheme="majorEastAsia"/>
        </w:rPr>
        <w:t>（二）国省、干线路网优化升级，打造快捷交通网络</w:t>
      </w:r>
    </w:p>
    <w:p>
      <w:pPr>
        <w:pStyle w:val="43"/>
        <w:ind w:firstLine="560"/>
        <w:rPr>
          <w:rFonts w:asciiTheme="majorEastAsia" w:hAnsiTheme="majorEastAsia" w:eastAsiaTheme="majorEastAsia"/>
        </w:rPr>
      </w:pPr>
      <w:r>
        <w:rPr>
          <w:rFonts w:hint="eastAsia" w:asciiTheme="majorEastAsia" w:hAnsiTheme="majorEastAsia" w:eastAsiaTheme="majorEastAsia"/>
        </w:rPr>
        <w:t>“十三五”以来，普通国道提等升级进一步加快。</w:t>
      </w:r>
      <w:r>
        <w:rPr>
          <w:rFonts w:hint="eastAsia" w:asciiTheme="majorEastAsia" w:hAnsiTheme="majorEastAsia" w:eastAsiaTheme="majorEastAsia"/>
          <w:b/>
        </w:rPr>
        <w:t>普通国省道技术等级大幅提升。</w:t>
      </w:r>
      <w:r>
        <w:rPr>
          <w:rFonts w:hint="eastAsia" w:asciiTheme="majorEastAsia" w:hAnsiTheme="majorEastAsia" w:eastAsiaTheme="majorEastAsia"/>
        </w:rPr>
        <w:t>截至目前，</w:t>
      </w:r>
      <w:r>
        <w:rPr>
          <w:rFonts w:hint="eastAsia" w:cs="FangSong_GB2312" w:asciiTheme="majorEastAsia" w:hAnsiTheme="majorEastAsia" w:eastAsiaTheme="majorEastAsia"/>
          <w:color w:val="000000" w:themeColor="text1"/>
          <w:szCs w:val="28"/>
          <w14:textFill>
            <w14:solidFill>
              <w14:schemeClr w14:val="tx1"/>
            </w14:solidFill>
          </w14:textFill>
        </w:rPr>
        <w:t>全市普通国道二级以上等级公路从2016年的160公里增加至369公里，比重由38.9%提升至67.5%，省道三级及以上等级公路从640公里提高到706.6公里，比重由47.4%提升至52.5%。</w:t>
      </w:r>
      <w:r>
        <w:rPr>
          <w:rFonts w:asciiTheme="majorEastAsia" w:hAnsiTheme="majorEastAsia" w:eastAsiaTheme="majorEastAsia"/>
          <w:b/>
        </w:rPr>
        <w:t>区域干线</w:t>
      </w:r>
      <w:r>
        <w:rPr>
          <w:rFonts w:hint="eastAsia" w:asciiTheme="majorEastAsia" w:hAnsiTheme="majorEastAsia" w:eastAsiaTheme="majorEastAsia"/>
          <w:b/>
        </w:rPr>
        <w:t>公路网优化升级。</w:t>
      </w:r>
      <w:r>
        <w:rPr>
          <w:rFonts w:asciiTheme="majorEastAsia" w:hAnsiTheme="majorEastAsia" w:eastAsiaTheme="majorEastAsia"/>
          <w:kern w:val="0"/>
          <w:szCs w:val="28"/>
        </w:rPr>
        <w:t>“十</w:t>
      </w:r>
      <w:r>
        <w:rPr>
          <w:rFonts w:hint="eastAsia" w:asciiTheme="majorEastAsia" w:hAnsiTheme="majorEastAsia" w:eastAsiaTheme="majorEastAsia"/>
          <w:kern w:val="0"/>
          <w:szCs w:val="28"/>
        </w:rPr>
        <w:t>三</w:t>
      </w:r>
      <w:r>
        <w:rPr>
          <w:rFonts w:asciiTheme="majorEastAsia" w:hAnsiTheme="majorEastAsia" w:eastAsiaTheme="majorEastAsia"/>
          <w:kern w:val="0"/>
          <w:szCs w:val="28"/>
        </w:rPr>
        <w:t>五”期间，全市区域干线公路网</w:t>
      </w:r>
      <w:r>
        <w:rPr>
          <w:rFonts w:hint="eastAsia" w:asciiTheme="majorEastAsia" w:hAnsiTheme="majorEastAsia" w:eastAsiaTheme="majorEastAsia"/>
          <w:kern w:val="0"/>
          <w:szCs w:val="28"/>
        </w:rPr>
        <w:t>已建项目有六枝大用至木岗公路、盘州雨格至普古公路、盘兴高速保田互通联络线等</w:t>
      </w:r>
      <w:r>
        <w:rPr>
          <w:rFonts w:asciiTheme="majorEastAsia" w:hAnsiTheme="majorEastAsia" w:eastAsiaTheme="majorEastAsia"/>
          <w:kern w:val="0"/>
          <w:szCs w:val="28"/>
        </w:rPr>
        <w:t>，总里程</w:t>
      </w:r>
      <w:r>
        <w:rPr>
          <w:rFonts w:hint="eastAsia" w:asciiTheme="majorEastAsia" w:hAnsiTheme="majorEastAsia" w:eastAsiaTheme="majorEastAsia"/>
          <w:kern w:val="0"/>
          <w:szCs w:val="28"/>
        </w:rPr>
        <w:t>7</w:t>
      </w:r>
      <w:r>
        <w:rPr>
          <w:rFonts w:asciiTheme="majorEastAsia" w:hAnsiTheme="majorEastAsia" w:eastAsiaTheme="majorEastAsia"/>
          <w:kern w:val="0"/>
          <w:szCs w:val="28"/>
        </w:rPr>
        <w:t>5</w:t>
      </w:r>
      <w:r>
        <w:rPr>
          <w:rFonts w:hint="eastAsia" w:asciiTheme="majorEastAsia" w:hAnsiTheme="majorEastAsia" w:eastAsiaTheme="majorEastAsia"/>
          <w:kern w:val="0"/>
          <w:szCs w:val="28"/>
        </w:rPr>
        <w:t>.95</w:t>
      </w:r>
      <w:r>
        <w:rPr>
          <w:rFonts w:asciiTheme="majorEastAsia" w:hAnsiTheme="majorEastAsia" w:eastAsiaTheme="majorEastAsia"/>
          <w:kern w:val="0"/>
          <w:szCs w:val="28"/>
        </w:rPr>
        <w:t>公里，全为二级公路，完成投资11.30亿元。同时</w:t>
      </w:r>
      <w:r>
        <w:rPr>
          <w:rFonts w:hint="eastAsia" w:asciiTheme="majorEastAsia" w:hAnsiTheme="majorEastAsia" w:eastAsiaTheme="majorEastAsia"/>
          <w:kern w:val="0"/>
          <w:szCs w:val="28"/>
        </w:rPr>
        <w:t>在建项目水城龙场至顺场公路、水城常明至果布戛公路等，</w:t>
      </w:r>
      <w:r>
        <w:rPr>
          <w:rFonts w:asciiTheme="majorEastAsia" w:hAnsiTheme="majorEastAsia" w:eastAsiaTheme="majorEastAsia"/>
          <w:kern w:val="0"/>
          <w:szCs w:val="28"/>
        </w:rPr>
        <w:t>总里程164.02公里，完成投资21.98亿元</w:t>
      </w:r>
      <w:r>
        <w:rPr>
          <w:rFonts w:hint="eastAsia" w:asciiTheme="majorEastAsia" w:hAnsiTheme="majorEastAsia" w:eastAsiaTheme="majorEastAsia"/>
          <w:kern w:val="0"/>
          <w:szCs w:val="28"/>
        </w:rPr>
        <w:t>，</w:t>
      </w:r>
      <w:r>
        <w:rPr>
          <w:rFonts w:asciiTheme="majorEastAsia" w:hAnsiTheme="majorEastAsia" w:eastAsiaTheme="majorEastAsia"/>
          <w:kern w:val="0"/>
          <w:szCs w:val="28"/>
        </w:rPr>
        <w:t>全为</w:t>
      </w:r>
      <w:r>
        <w:rPr>
          <w:rFonts w:hint="eastAsia" w:asciiTheme="majorEastAsia" w:hAnsiTheme="majorEastAsia" w:eastAsiaTheme="majorEastAsia"/>
          <w:kern w:val="0"/>
          <w:szCs w:val="28"/>
        </w:rPr>
        <w:t>二</w:t>
      </w:r>
      <w:r>
        <w:rPr>
          <w:rFonts w:asciiTheme="majorEastAsia" w:hAnsiTheme="majorEastAsia" w:eastAsiaTheme="majorEastAsia"/>
          <w:kern w:val="0"/>
          <w:szCs w:val="28"/>
        </w:rPr>
        <w:t>级公路</w:t>
      </w:r>
      <w:r>
        <w:rPr>
          <w:rFonts w:hint="eastAsia" w:asciiTheme="majorEastAsia" w:hAnsiTheme="majorEastAsia" w:eastAsiaTheme="majorEastAsia"/>
          <w:kern w:val="0"/>
          <w:szCs w:val="28"/>
        </w:rPr>
        <w:t>，完善了干线公路路网结构。</w:t>
      </w:r>
      <w:bookmarkStart w:id="128" w:name="_Hlk65594539"/>
      <w:r>
        <w:rPr>
          <w:rFonts w:asciiTheme="majorEastAsia" w:hAnsiTheme="majorEastAsia" w:eastAsiaTheme="majorEastAsia"/>
          <w:b/>
        </w:rPr>
        <w:t>乡镇通二级公路全面攻坚</w:t>
      </w:r>
      <w:r>
        <w:rPr>
          <w:rFonts w:hint="eastAsia" w:asciiTheme="majorEastAsia" w:hAnsiTheme="majorEastAsia" w:eastAsiaTheme="majorEastAsia"/>
          <w:b/>
        </w:rPr>
        <w:t>。</w:t>
      </w:r>
      <w:r>
        <w:rPr>
          <w:rFonts w:hint="eastAsia" w:asciiTheme="majorEastAsia" w:hAnsiTheme="majorEastAsia" w:eastAsiaTheme="majorEastAsia"/>
        </w:rPr>
        <w:t>“十三五”期间，乡镇二级公路通畅率达71.2%、高于全省平均水平24.7个百分点</w:t>
      </w:r>
      <w:bookmarkEnd w:id="128"/>
      <w:r>
        <w:rPr>
          <w:rFonts w:hint="eastAsia" w:asciiTheme="majorEastAsia" w:hAnsiTheme="majorEastAsia" w:eastAsiaTheme="majorEastAsia"/>
        </w:rPr>
        <w:t>。实现全市11个产业园区100%通二级以上公路，全市27个A级景区92.6%通三级以上公路，构建了“内通外联、覆盖广泛、便捷高效、安全可靠”的交通运输网络体系。</w:t>
      </w:r>
    </w:p>
    <w:p>
      <w:pPr>
        <w:tabs>
          <w:tab w:val="left" w:pos="8100"/>
        </w:tabs>
        <w:ind w:firstLine="482"/>
        <w:jc w:val="center"/>
        <w:rPr>
          <w:rFonts w:asciiTheme="majorEastAsia" w:hAnsiTheme="majorEastAsia" w:eastAsiaTheme="majorEastAsia"/>
          <w:b/>
          <w:sz w:val="24"/>
          <w:szCs w:val="22"/>
        </w:rPr>
      </w:pPr>
      <w:r>
        <w:rPr>
          <w:rFonts w:asciiTheme="majorEastAsia" w:hAnsiTheme="majorEastAsia" w:eastAsiaTheme="majorEastAsia"/>
          <w:b/>
          <w:sz w:val="24"/>
          <w:szCs w:val="22"/>
        </w:rPr>
        <w:t>表2-3  “十三五”期间普通国省干线公路项目建设情况表</w:t>
      </w:r>
    </w:p>
    <w:tbl>
      <w:tblPr>
        <w:tblStyle w:val="19"/>
        <w:tblW w:w="47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480"/>
        <w:gridCol w:w="481"/>
        <w:gridCol w:w="2938"/>
        <w:gridCol w:w="706"/>
        <w:gridCol w:w="803"/>
        <w:gridCol w:w="596"/>
        <w:gridCol w:w="712"/>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blHeader/>
          <w:jc w:val="center"/>
        </w:trPr>
        <w:tc>
          <w:tcPr>
            <w:tcW w:w="302" w:type="pct"/>
            <w:vMerge w:val="restart"/>
            <w:vAlign w:val="center"/>
          </w:tcPr>
          <w:p>
            <w:pPr>
              <w:widowControl/>
              <w:spacing w:line="240" w:lineRule="auto"/>
              <w:jc w:val="center"/>
              <w:textAlignment w:val="center"/>
              <w:rPr>
                <w:rFonts w:asciiTheme="majorEastAsia" w:hAnsiTheme="majorEastAsia" w:eastAsiaTheme="majorEastAsia"/>
                <w:b/>
                <w:sz w:val="20"/>
                <w:szCs w:val="20"/>
              </w:rPr>
            </w:pPr>
            <w:r>
              <w:rPr>
                <w:rFonts w:hint="eastAsia" w:asciiTheme="majorEastAsia" w:hAnsiTheme="majorEastAsia" w:eastAsiaTheme="majorEastAsia"/>
                <w:b/>
                <w:sz w:val="20"/>
                <w:szCs w:val="20"/>
              </w:rPr>
              <w:t>类别</w:t>
            </w:r>
          </w:p>
        </w:tc>
        <w:tc>
          <w:tcPr>
            <w:tcW w:w="302" w:type="pct"/>
            <w:vMerge w:val="restart"/>
            <w:vAlign w:val="center"/>
          </w:tcPr>
          <w:p>
            <w:pPr>
              <w:widowControl/>
              <w:spacing w:line="240" w:lineRule="auto"/>
              <w:jc w:val="center"/>
              <w:textAlignment w:val="center"/>
              <w:rPr>
                <w:rFonts w:asciiTheme="majorEastAsia" w:hAnsiTheme="majorEastAsia" w:eastAsiaTheme="majorEastAsia"/>
                <w:b/>
                <w:sz w:val="20"/>
                <w:szCs w:val="20"/>
              </w:rPr>
            </w:pPr>
            <w:r>
              <w:rPr>
                <w:rFonts w:asciiTheme="majorEastAsia" w:hAnsiTheme="majorEastAsia" w:eastAsiaTheme="majorEastAsia"/>
                <w:b/>
                <w:sz w:val="20"/>
                <w:szCs w:val="20"/>
              </w:rPr>
              <w:t>序号</w:t>
            </w:r>
          </w:p>
        </w:tc>
        <w:tc>
          <w:tcPr>
            <w:tcW w:w="1845" w:type="pct"/>
            <w:vMerge w:val="restart"/>
            <w:vAlign w:val="center"/>
          </w:tcPr>
          <w:p>
            <w:pPr>
              <w:widowControl/>
              <w:spacing w:line="240" w:lineRule="auto"/>
              <w:jc w:val="center"/>
              <w:textAlignment w:val="center"/>
              <w:rPr>
                <w:rFonts w:asciiTheme="majorEastAsia" w:hAnsiTheme="majorEastAsia" w:eastAsiaTheme="majorEastAsia"/>
                <w:b/>
                <w:sz w:val="20"/>
                <w:szCs w:val="20"/>
              </w:rPr>
            </w:pPr>
            <w:r>
              <w:rPr>
                <w:rFonts w:asciiTheme="majorEastAsia" w:hAnsiTheme="majorEastAsia" w:eastAsiaTheme="majorEastAsia"/>
                <w:b/>
                <w:sz w:val="20"/>
                <w:szCs w:val="20"/>
              </w:rPr>
              <w:t>项目名称</w:t>
            </w:r>
          </w:p>
        </w:tc>
        <w:tc>
          <w:tcPr>
            <w:tcW w:w="946" w:type="pct"/>
            <w:gridSpan w:val="2"/>
            <w:vAlign w:val="center"/>
          </w:tcPr>
          <w:p>
            <w:pPr>
              <w:widowControl/>
              <w:spacing w:line="240" w:lineRule="auto"/>
              <w:jc w:val="center"/>
              <w:textAlignment w:val="center"/>
              <w:rPr>
                <w:rFonts w:asciiTheme="majorEastAsia" w:hAnsiTheme="majorEastAsia" w:eastAsiaTheme="majorEastAsia"/>
                <w:b/>
                <w:sz w:val="20"/>
                <w:szCs w:val="20"/>
              </w:rPr>
            </w:pPr>
            <w:r>
              <w:rPr>
                <w:rFonts w:asciiTheme="majorEastAsia" w:hAnsiTheme="majorEastAsia" w:eastAsiaTheme="majorEastAsia"/>
                <w:b/>
                <w:sz w:val="20"/>
                <w:szCs w:val="20"/>
              </w:rPr>
              <w:t>规模标准(公里)</w:t>
            </w:r>
          </w:p>
        </w:tc>
        <w:tc>
          <w:tcPr>
            <w:tcW w:w="820" w:type="pct"/>
            <w:gridSpan w:val="2"/>
            <w:vMerge w:val="restart"/>
            <w:vAlign w:val="center"/>
          </w:tcPr>
          <w:p>
            <w:pPr>
              <w:widowControl/>
              <w:spacing w:line="240" w:lineRule="auto"/>
              <w:jc w:val="center"/>
              <w:textAlignment w:val="center"/>
              <w:rPr>
                <w:rFonts w:asciiTheme="majorEastAsia" w:hAnsiTheme="majorEastAsia" w:eastAsiaTheme="majorEastAsia"/>
                <w:b/>
                <w:sz w:val="20"/>
                <w:szCs w:val="20"/>
              </w:rPr>
            </w:pPr>
            <w:r>
              <w:rPr>
                <w:rFonts w:asciiTheme="majorEastAsia" w:hAnsiTheme="majorEastAsia" w:eastAsiaTheme="majorEastAsia"/>
                <w:b/>
                <w:sz w:val="20"/>
                <w:szCs w:val="20"/>
              </w:rPr>
              <w:t>建设起止年限</w:t>
            </w:r>
          </w:p>
        </w:tc>
        <w:tc>
          <w:tcPr>
            <w:tcW w:w="784" w:type="pct"/>
            <w:vMerge w:val="restart"/>
            <w:vAlign w:val="center"/>
          </w:tcPr>
          <w:p>
            <w:pPr>
              <w:widowControl/>
              <w:spacing w:line="240" w:lineRule="auto"/>
              <w:jc w:val="center"/>
              <w:textAlignment w:val="center"/>
              <w:rPr>
                <w:rFonts w:asciiTheme="majorEastAsia" w:hAnsiTheme="majorEastAsia" w:eastAsiaTheme="majorEastAsia"/>
                <w:b/>
                <w:sz w:val="20"/>
                <w:szCs w:val="20"/>
              </w:rPr>
            </w:pPr>
            <w:r>
              <w:rPr>
                <w:rFonts w:asciiTheme="majorEastAsia" w:hAnsiTheme="majorEastAsia" w:eastAsiaTheme="majorEastAsia"/>
                <w:b/>
                <w:sz w:val="20"/>
                <w:szCs w:val="20"/>
              </w:rPr>
              <w:t>总投资</w:t>
            </w:r>
          </w:p>
          <w:p>
            <w:pPr>
              <w:widowControl/>
              <w:spacing w:line="240" w:lineRule="auto"/>
              <w:jc w:val="center"/>
              <w:textAlignment w:val="center"/>
              <w:rPr>
                <w:rFonts w:asciiTheme="majorEastAsia" w:hAnsiTheme="majorEastAsia" w:eastAsiaTheme="majorEastAsia"/>
                <w:b/>
                <w:sz w:val="20"/>
                <w:szCs w:val="20"/>
              </w:rPr>
            </w:pPr>
            <w:r>
              <w:rPr>
                <w:rFonts w:asciiTheme="majorEastAsia" w:hAnsiTheme="majorEastAsia" w:eastAsiaTheme="majorEastAsia"/>
                <w:b/>
                <w:sz w:val="20"/>
                <w:szCs w:val="20"/>
              </w:rPr>
              <w:t>(</w:t>
            </w:r>
            <w:r>
              <w:rPr>
                <w:rFonts w:hint="eastAsia" w:asciiTheme="majorEastAsia" w:hAnsiTheme="majorEastAsia" w:eastAsiaTheme="majorEastAsia"/>
                <w:b/>
                <w:sz w:val="20"/>
                <w:szCs w:val="20"/>
              </w:rPr>
              <w:t>亿</w:t>
            </w:r>
            <w:r>
              <w:rPr>
                <w:rFonts w:asciiTheme="majorEastAsia" w:hAnsiTheme="majorEastAsia" w:eastAsiaTheme="majorEastAsia"/>
                <w:b/>
                <w:sz w:val="20"/>
                <w:szCs w:val="20"/>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tblHeader/>
          <w:jc w:val="center"/>
        </w:trPr>
        <w:tc>
          <w:tcPr>
            <w:tcW w:w="302" w:type="pct"/>
            <w:vMerge w:val="continue"/>
            <w:vAlign w:val="center"/>
          </w:tcPr>
          <w:p>
            <w:pPr>
              <w:widowControl/>
              <w:spacing w:line="240" w:lineRule="auto"/>
              <w:jc w:val="center"/>
              <w:textAlignment w:val="center"/>
              <w:rPr>
                <w:rFonts w:asciiTheme="majorEastAsia" w:hAnsiTheme="majorEastAsia" w:eastAsiaTheme="majorEastAsia"/>
                <w:sz w:val="20"/>
                <w:szCs w:val="20"/>
              </w:rPr>
            </w:pPr>
          </w:p>
        </w:tc>
        <w:tc>
          <w:tcPr>
            <w:tcW w:w="302" w:type="pct"/>
            <w:vMerge w:val="continue"/>
            <w:vAlign w:val="center"/>
          </w:tcPr>
          <w:p>
            <w:pPr>
              <w:widowControl/>
              <w:spacing w:line="240" w:lineRule="auto"/>
              <w:jc w:val="center"/>
              <w:textAlignment w:val="center"/>
              <w:rPr>
                <w:rFonts w:asciiTheme="majorEastAsia" w:hAnsiTheme="majorEastAsia" w:eastAsiaTheme="majorEastAsia"/>
                <w:sz w:val="20"/>
                <w:szCs w:val="20"/>
              </w:rPr>
            </w:pPr>
          </w:p>
        </w:tc>
        <w:tc>
          <w:tcPr>
            <w:tcW w:w="1845" w:type="pct"/>
            <w:vMerge w:val="continue"/>
            <w:vAlign w:val="center"/>
          </w:tcPr>
          <w:p>
            <w:pPr>
              <w:widowControl/>
              <w:spacing w:line="240" w:lineRule="auto"/>
              <w:jc w:val="center"/>
              <w:textAlignment w:val="center"/>
              <w:rPr>
                <w:rFonts w:asciiTheme="majorEastAsia" w:hAnsiTheme="majorEastAsia" w:eastAsiaTheme="majorEastAsia"/>
                <w:b/>
                <w:sz w:val="20"/>
                <w:szCs w:val="20"/>
              </w:rPr>
            </w:pPr>
          </w:p>
        </w:tc>
        <w:tc>
          <w:tcPr>
            <w:tcW w:w="443" w:type="pct"/>
            <w:vAlign w:val="center"/>
          </w:tcPr>
          <w:p>
            <w:pPr>
              <w:widowControl/>
              <w:spacing w:line="240" w:lineRule="auto"/>
              <w:jc w:val="center"/>
              <w:textAlignment w:val="center"/>
              <w:rPr>
                <w:rFonts w:asciiTheme="majorEastAsia" w:hAnsiTheme="majorEastAsia" w:eastAsiaTheme="majorEastAsia"/>
                <w:b/>
                <w:sz w:val="20"/>
                <w:szCs w:val="20"/>
              </w:rPr>
            </w:pPr>
            <w:r>
              <w:rPr>
                <w:rFonts w:asciiTheme="majorEastAsia" w:hAnsiTheme="majorEastAsia" w:eastAsiaTheme="majorEastAsia"/>
                <w:b/>
                <w:sz w:val="20"/>
                <w:szCs w:val="20"/>
              </w:rPr>
              <w:t>一级</w:t>
            </w:r>
          </w:p>
        </w:tc>
        <w:tc>
          <w:tcPr>
            <w:tcW w:w="504" w:type="pct"/>
            <w:vAlign w:val="center"/>
          </w:tcPr>
          <w:p>
            <w:pPr>
              <w:widowControl/>
              <w:spacing w:line="240" w:lineRule="auto"/>
              <w:jc w:val="center"/>
              <w:textAlignment w:val="center"/>
              <w:rPr>
                <w:rFonts w:asciiTheme="majorEastAsia" w:hAnsiTheme="majorEastAsia" w:eastAsiaTheme="majorEastAsia"/>
                <w:b/>
                <w:sz w:val="20"/>
                <w:szCs w:val="20"/>
              </w:rPr>
            </w:pPr>
            <w:r>
              <w:rPr>
                <w:rFonts w:asciiTheme="majorEastAsia" w:hAnsiTheme="majorEastAsia" w:eastAsiaTheme="majorEastAsia"/>
                <w:b/>
                <w:sz w:val="20"/>
                <w:szCs w:val="20"/>
              </w:rPr>
              <w:t>二级</w:t>
            </w:r>
          </w:p>
        </w:tc>
        <w:tc>
          <w:tcPr>
            <w:tcW w:w="820" w:type="pct"/>
            <w:gridSpan w:val="2"/>
            <w:vMerge w:val="continue"/>
            <w:vAlign w:val="center"/>
          </w:tcPr>
          <w:p>
            <w:pPr>
              <w:widowControl/>
              <w:spacing w:line="240" w:lineRule="auto"/>
              <w:jc w:val="center"/>
              <w:textAlignment w:val="center"/>
              <w:rPr>
                <w:rFonts w:asciiTheme="majorEastAsia" w:hAnsiTheme="majorEastAsia" w:eastAsiaTheme="majorEastAsia"/>
                <w:sz w:val="20"/>
                <w:szCs w:val="20"/>
              </w:rPr>
            </w:pPr>
          </w:p>
        </w:tc>
        <w:tc>
          <w:tcPr>
            <w:tcW w:w="784" w:type="pct"/>
            <w:vMerge w:val="continue"/>
            <w:vAlign w:val="center"/>
          </w:tcPr>
          <w:p>
            <w:pPr>
              <w:widowControl/>
              <w:spacing w:line="240" w:lineRule="auto"/>
              <w:jc w:val="center"/>
              <w:textAlignment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5" w:hRule="atLeast"/>
          <w:jc w:val="center"/>
        </w:trPr>
        <w:tc>
          <w:tcPr>
            <w:tcW w:w="302" w:type="pct"/>
            <w:vMerge w:val="restart"/>
            <w:vAlign w:val="center"/>
          </w:tcPr>
          <w:p>
            <w:pPr>
              <w:widowControl/>
              <w:spacing w:line="240" w:lineRule="auto"/>
              <w:jc w:val="center"/>
              <w:textAlignment w:val="center"/>
              <w:rPr>
                <w:rFonts w:asciiTheme="majorEastAsia" w:hAnsiTheme="majorEastAsia" w:eastAsiaTheme="majorEastAsia"/>
                <w:sz w:val="20"/>
                <w:szCs w:val="20"/>
              </w:rPr>
            </w:pPr>
          </w:p>
          <w:p>
            <w:pPr>
              <w:widowControl/>
              <w:spacing w:line="240" w:lineRule="auto"/>
              <w:jc w:val="center"/>
              <w:textAlignment w:val="center"/>
              <w:rPr>
                <w:rFonts w:asciiTheme="majorEastAsia" w:hAnsiTheme="majorEastAsia" w:eastAsiaTheme="majorEastAsia"/>
                <w:sz w:val="20"/>
                <w:szCs w:val="20"/>
              </w:rPr>
            </w:pPr>
          </w:p>
          <w:p>
            <w:pPr>
              <w:widowControl/>
              <w:spacing w:line="240" w:lineRule="auto"/>
              <w:jc w:val="center"/>
              <w:textAlignment w:val="center"/>
              <w:rPr>
                <w:rFonts w:asciiTheme="majorEastAsia" w:hAnsiTheme="majorEastAsia" w:eastAsiaTheme="majorEastAsia"/>
                <w:sz w:val="20"/>
                <w:szCs w:val="20"/>
              </w:rPr>
            </w:pPr>
          </w:p>
          <w:p>
            <w:pPr>
              <w:widowControl/>
              <w:spacing w:line="240" w:lineRule="auto"/>
              <w:jc w:val="center"/>
              <w:textAlignment w:val="center"/>
              <w:rPr>
                <w:rFonts w:asciiTheme="majorEastAsia" w:hAnsiTheme="majorEastAsia" w:eastAsiaTheme="majorEastAsia"/>
                <w:sz w:val="20"/>
                <w:szCs w:val="20"/>
              </w:rPr>
            </w:pPr>
          </w:p>
          <w:p>
            <w:pPr>
              <w:widowControl/>
              <w:spacing w:line="240" w:lineRule="auto"/>
              <w:jc w:val="center"/>
              <w:textAlignment w:val="center"/>
              <w:rPr>
                <w:rFonts w:asciiTheme="majorEastAsia" w:hAnsiTheme="majorEastAsia" w:eastAsiaTheme="majorEastAsia"/>
                <w:sz w:val="20"/>
                <w:szCs w:val="20"/>
              </w:rPr>
            </w:pPr>
          </w:p>
          <w:p>
            <w:pPr>
              <w:widowControl/>
              <w:spacing w:line="240" w:lineRule="auto"/>
              <w:jc w:val="center"/>
              <w:textAlignment w:val="center"/>
              <w:rPr>
                <w:rFonts w:asciiTheme="majorEastAsia" w:hAnsiTheme="majorEastAsia" w:eastAsiaTheme="majorEastAsia"/>
                <w:b/>
                <w:sz w:val="20"/>
                <w:szCs w:val="20"/>
              </w:rPr>
            </w:pPr>
            <w:r>
              <w:rPr>
                <w:rFonts w:hint="eastAsia" w:asciiTheme="majorEastAsia" w:hAnsiTheme="majorEastAsia" w:eastAsiaTheme="majorEastAsia"/>
                <w:b/>
                <w:sz w:val="20"/>
                <w:szCs w:val="20"/>
              </w:rPr>
              <w:t>已建项目</w:t>
            </w:r>
          </w:p>
          <w:p>
            <w:pPr>
              <w:widowControl/>
              <w:spacing w:line="240" w:lineRule="auto"/>
              <w:jc w:val="center"/>
              <w:textAlignment w:val="center"/>
              <w:rPr>
                <w:rFonts w:asciiTheme="majorEastAsia" w:hAnsiTheme="majorEastAsia" w:eastAsiaTheme="majorEastAsia"/>
                <w:b/>
                <w:sz w:val="20"/>
                <w:szCs w:val="20"/>
              </w:rPr>
            </w:pPr>
          </w:p>
          <w:p>
            <w:pPr>
              <w:widowControl/>
              <w:spacing w:line="240" w:lineRule="auto"/>
              <w:jc w:val="center"/>
              <w:textAlignment w:val="center"/>
              <w:rPr>
                <w:rFonts w:asciiTheme="majorEastAsia" w:hAnsiTheme="majorEastAsia" w:eastAsiaTheme="majorEastAsia"/>
                <w:sz w:val="20"/>
                <w:szCs w:val="20"/>
              </w:rPr>
            </w:pPr>
          </w:p>
          <w:p>
            <w:pPr>
              <w:widowControl/>
              <w:spacing w:line="240" w:lineRule="auto"/>
              <w:jc w:val="center"/>
              <w:textAlignment w:val="center"/>
              <w:rPr>
                <w:rFonts w:asciiTheme="majorEastAsia" w:hAnsiTheme="majorEastAsia" w:eastAsiaTheme="majorEastAsia"/>
                <w:sz w:val="20"/>
                <w:szCs w:val="20"/>
              </w:rPr>
            </w:pPr>
          </w:p>
          <w:p>
            <w:pPr>
              <w:widowControl/>
              <w:spacing w:line="240" w:lineRule="auto"/>
              <w:jc w:val="center"/>
              <w:textAlignment w:val="center"/>
              <w:rPr>
                <w:rFonts w:asciiTheme="majorEastAsia" w:hAnsiTheme="majorEastAsia" w:eastAsiaTheme="majorEastAsia"/>
                <w:sz w:val="20"/>
                <w:szCs w:val="20"/>
              </w:rPr>
            </w:pPr>
          </w:p>
        </w:tc>
        <w:tc>
          <w:tcPr>
            <w:tcW w:w="302" w:type="pct"/>
            <w:vAlign w:val="center"/>
          </w:tcPr>
          <w:p>
            <w:pPr>
              <w:widowControl/>
              <w:spacing w:line="240" w:lineRule="auto"/>
              <w:jc w:val="center"/>
              <w:textAlignment w:val="center"/>
              <w:rPr>
                <w:rFonts w:asciiTheme="majorEastAsia" w:hAnsiTheme="majorEastAsia" w:eastAsiaTheme="majorEastAsia"/>
                <w:sz w:val="20"/>
                <w:szCs w:val="20"/>
              </w:rPr>
            </w:pPr>
          </w:p>
        </w:tc>
        <w:tc>
          <w:tcPr>
            <w:tcW w:w="1845" w:type="pct"/>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合计</w:t>
            </w:r>
          </w:p>
        </w:tc>
        <w:tc>
          <w:tcPr>
            <w:tcW w:w="443" w:type="pct"/>
            <w:vAlign w:val="center"/>
          </w:tcPr>
          <w:p>
            <w:pPr>
              <w:widowControl/>
              <w:spacing w:line="240" w:lineRule="auto"/>
              <w:jc w:val="center"/>
              <w:textAlignment w:val="center"/>
              <w:rPr>
                <w:rFonts w:asciiTheme="majorEastAsia" w:hAnsiTheme="majorEastAsia" w:eastAsiaTheme="majorEastAsia"/>
                <w:b/>
                <w:sz w:val="20"/>
                <w:szCs w:val="20"/>
              </w:rPr>
            </w:pPr>
            <w:r>
              <w:rPr>
                <w:rFonts w:asciiTheme="majorEastAsia" w:hAnsiTheme="majorEastAsia" w:eastAsiaTheme="majorEastAsia"/>
                <w:b/>
                <w:sz w:val="20"/>
                <w:szCs w:val="20"/>
              </w:rPr>
              <w:t>77</w:t>
            </w:r>
          </w:p>
        </w:tc>
        <w:tc>
          <w:tcPr>
            <w:tcW w:w="504" w:type="pct"/>
            <w:vAlign w:val="center"/>
          </w:tcPr>
          <w:p>
            <w:pPr>
              <w:widowControl/>
              <w:spacing w:line="240" w:lineRule="auto"/>
              <w:jc w:val="center"/>
              <w:textAlignment w:val="center"/>
              <w:rPr>
                <w:rFonts w:asciiTheme="majorEastAsia" w:hAnsiTheme="majorEastAsia" w:eastAsiaTheme="majorEastAsia"/>
                <w:b/>
                <w:sz w:val="20"/>
                <w:szCs w:val="20"/>
              </w:rPr>
            </w:pPr>
            <w:r>
              <w:rPr>
                <w:rFonts w:asciiTheme="majorEastAsia" w:hAnsiTheme="majorEastAsia" w:eastAsiaTheme="majorEastAsia"/>
                <w:b/>
                <w:sz w:val="20"/>
                <w:szCs w:val="20"/>
              </w:rPr>
              <w:t>422.12</w:t>
            </w:r>
          </w:p>
        </w:tc>
        <w:tc>
          <w:tcPr>
            <w:tcW w:w="374" w:type="pct"/>
            <w:vAlign w:val="center"/>
          </w:tcPr>
          <w:p>
            <w:pPr>
              <w:widowControl/>
              <w:spacing w:line="240" w:lineRule="auto"/>
              <w:jc w:val="center"/>
              <w:textAlignment w:val="center"/>
              <w:rPr>
                <w:rFonts w:asciiTheme="majorEastAsia" w:hAnsiTheme="majorEastAsia" w:eastAsiaTheme="majorEastAsia"/>
                <w:b/>
                <w:sz w:val="20"/>
                <w:szCs w:val="20"/>
              </w:rPr>
            </w:pPr>
          </w:p>
        </w:tc>
        <w:tc>
          <w:tcPr>
            <w:tcW w:w="447" w:type="pct"/>
            <w:vAlign w:val="center"/>
          </w:tcPr>
          <w:p>
            <w:pPr>
              <w:widowControl/>
              <w:spacing w:line="240" w:lineRule="auto"/>
              <w:jc w:val="center"/>
              <w:textAlignment w:val="center"/>
              <w:rPr>
                <w:rFonts w:asciiTheme="majorEastAsia" w:hAnsiTheme="majorEastAsia" w:eastAsiaTheme="majorEastAsia"/>
                <w:b/>
                <w:sz w:val="20"/>
                <w:szCs w:val="20"/>
              </w:rPr>
            </w:pPr>
          </w:p>
        </w:tc>
        <w:tc>
          <w:tcPr>
            <w:tcW w:w="784" w:type="pct"/>
            <w:vAlign w:val="center"/>
          </w:tcPr>
          <w:p>
            <w:pPr>
              <w:widowControl/>
              <w:spacing w:line="240" w:lineRule="auto"/>
              <w:jc w:val="center"/>
              <w:textAlignment w:val="center"/>
              <w:rPr>
                <w:rFonts w:asciiTheme="majorEastAsia" w:hAnsiTheme="majorEastAsia" w:eastAsiaTheme="majorEastAsia"/>
                <w:b/>
                <w:sz w:val="20"/>
                <w:szCs w:val="20"/>
              </w:rPr>
            </w:pPr>
            <w:r>
              <w:rPr>
                <w:rFonts w:asciiTheme="majorEastAsia" w:hAnsiTheme="majorEastAsia" w:eastAsiaTheme="majorEastAsia"/>
                <w:b/>
                <w:sz w:val="20"/>
                <w:szCs w:val="20"/>
              </w:rPr>
              <w:t>134.53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77" w:hRule="atLeast"/>
          <w:jc w:val="center"/>
        </w:trPr>
        <w:tc>
          <w:tcPr>
            <w:tcW w:w="302" w:type="pct"/>
            <w:vMerge w:val="continue"/>
            <w:vAlign w:val="center"/>
          </w:tcPr>
          <w:p>
            <w:pPr>
              <w:widowControl/>
              <w:spacing w:line="240" w:lineRule="auto"/>
              <w:jc w:val="center"/>
              <w:textAlignment w:val="center"/>
              <w:rPr>
                <w:rFonts w:asciiTheme="majorEastAsia" w:hAnsiTheme="majorEastAsia" w:eastAsiaTheme="majorEastAsia"/>
                <w:sz w:val="20"/>
                <w:szCs w:val="20"/>
              </w:rPr>
            </w:pPr>
          </w:p>
        </w:tc>
        <w:tc>
          <w:tcPr>
            <w:tcW w:w="302" w:type="pct"/>
            <w:vAlign w:val="center"/>
          </w:tcPr>
          <w:p>
            <w:pPr>
              <w:widowControl/>
              <w:spacing w:line="240" w:lineRule="auto"/>
              <w:jc w:val="center"/>
              <w:textAlignment w:val="center"/>
              <w:rPr>
                <w:rFonts w:asciiTheme="majorEastAsia" w:hAnsiTheme="majorEastAsia" w:eastAsiaTheme="majorEastAsia"/>
                <w:sz w:val="20"/>
                <w:szCs w:val="20"/>
              </w:rPr>
            </w:pPr>
          </w:p>
        </w:tc>
        <w:tc>
          <w:tcPr>
            <w:tcW w:w="1845" w:type="pct"/>
            <w:vAlign w:val="center"/>
          </w:tcPr>
          <w:p>
            <w:pPr>
              <w:widowControl/>
              <w:spacing w:line="240" w:lineRule="auto"/>
              <w:jc w:val="center"/>
              <w:textAlignment w:val="center"/>
              <w:rPr>
                <w:rFonts w:asciiTheme="majorEastAsia" w:hAnsiTheme="majorEastAsia" w:eastAsiaTheme="majorEastAsia"/>
                <w:b/>
                <w:bCs/>
                <w:sz w:val="20"/>
                <w:szCs w:val="20"/>
              </w:rPr>
            </w:pPr>
            <w:r>
              <w:rPr>
                <w:rFonts w:asciiTheme="majorEastAsia" w:hAnsiTheme="majorEastAsia" w:eastAsiaTheme="majorEastAsia"/>
                <w:b/>
                <w:bCs/>
                <w:sz w:val="20"/>
                <w:szCs w:val="20"/>
              </w:rPr>
              <w:t>国道项目</w:t>
            </w:r>
          </w:p>
        </w:tc>
        <w:tc>
          <w:tcPr>
            <w:tcW w:w="443" w:type="pct"/>
            <w:vAlign w:val="center"/>
          </w:tcPr>
          <w:p>
            <w:pPr>
              <w:widowControl/>
              <w:spacing w:line="240" w:lineRule="auto"/>
              <w:jc w:val="center"/>
              <w:textAlignment w:val="center"/>
              <w:rPr>
                <w:rFonts w:asciiTheme="majorEastAsia" w:hAnsiTheme="majorEastAsia" w:eastAsiaTheme="majorEastAsia"/>
                <w:b/>
                <w:sz w:val="20"/>
                <w:szCs w:val="20"/>
              </w:rPr>
            </w:pPr>
            <w:r>
              <w:rPr>
                <w:rFonts w:asciiTheme="majorEastAsia" w:hAnsiTheme="majorEastAsia" w:eastAsiaTheme="majorEastAsia"/>
                <w:b/>
                <w:sz w:val="20"/>
                <w:szCs w:val="20"/>
              </w:rPr>
              <w:t>51</w:t>
            </w:r>
          </w:p>
        </w:tc>
        <w:tc>
          <w:tcPr>
            <w:tcW w:w="504" w:type="pct"/>
            <w:vAlign w:val="center"/>
          </w:tcPr>
          <w:p>
            <w:pPr>
              <w:spacing w:line="480" w:lineRule="auto"/>
              <w:jc w:val="center"/>
              <w:rPr>
                <w:rFonts w:asciiTheme="majorEastAsia" w:hAnsiTheme="majorEastAsia" w:eastAsiaTheme="majorEastAsia"/>
                <w:b/>
                <w:sz w:val="20"/>
                <w:szCs w:val="20"/>
              </w:rPr>
            </w:pPr>
            <w:r>
              <w:rPr>
                <w:rFonts w:asciiTheme="majorEastAsia" w:hAnsiTheme="majorEastAsia" w:eastAsiaTheme="majorEastAsia"/>
                <w:b/>
                <w:sz w:val="20"/>
                <w:szCs w:val="20"/>
              </w:rPr>
              <w:t>83.8</w:t>
            </w:r>
          </w:p>
        </w:tc>
        <w:tc>
          <w:tcPr>
            <w:tcW w:w="374" w:type="pct"/>
            <w:vAlign w:val="center"/>
          </w:tcPr>
          <w:p>
            <w:pPr>
              <w:spacing w:line="240" w:lineRule="auto"/>
              <w:jc w:val="center"/>
              <w:rPr>
                <w:rFonts w:asciiTheme="majorEastAsia" w:hAnsiTheme="majorEastAsia" w:eastAsiaTheme="majorEastAsia"/>
                <w:b/>
                <w:sz w:val="20"/>
                <w:szCs w:val="20"/>
              </w:rPr>
            </w:pPr>
          </w:p>
        </w:tc>
        <w:tc>
          <w:tcPr>
            <w:tcW w:w="447" w:type="pct"/>
            <w:vAlign w:val="center"/>
          </w:tcPr>
          <w:p>
            <w:pPr>
              <w:spacing w:line="240" w:lineRule="auto"/>
              <w:jc w:val="center"/>
              <w:rPr>
                <w:rFonts w:asciiTheme="majorEastAsia" w:hAnsiTheme="majorEastAsia" w:eastAsiaTheme="majorEastAsia"/>
                <w:b/>
                <w:sz w:val="20"/>
                <w:szCs w:val="20"/>
              </w:rPr>
            </w:pPr>
          </w:p>
        </w:tc>
        <w:tc>
          <w:tcPr>
            <w:tcW w:w="784" w:type="pct"/>
            <w:vAlign w:val="center"/>
          </w:tcPr>
          <w:p>
            <w:pPr>
              <w:widowControl/>
              <w:spacing w:line="240" w:lineRule="auto"/>
              <w:jc w:val="center"/>
              <w:textAlignment w:val="center"/>
              <w:rPr>
                <w:rFonts w:asciiTheme="majorEastAsia" w:hAnsiTheme="majorEastAsia" w:eastAsiaTheme="majorEastAsia"/>
                <w:b/>
                <w:sz w:val="20"/>
                <w:szCs w:val="20"/>
              </w:rPr>
            </w:pPr>
            <w:r>
              <w:rPr>
                <w:rFonts w:asciiTheme="majorEastAsia" w:hAnsiTheme="majorEastAsia" w:eastAsiaTheme="majorEastAsia"/>
                <w:b/>
                <w:sz w:val="20"/>
                <w:szCs w:val="20"/>
              </w:rPr>
              <w:t>39.21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302" w:type="pct"/>
            <w:vMerge w:val="continue"/>
            <w:vAlign w:val="center"/>
          </w:tcPr>
          <w:p>
            <w:pPr>
              <w:widowControl/>
              <w:spacing w:line="240" w:lineRule="auto"/>
              <w:jc w:val="center"/>
              <w:textAlignment w:val="center"/>
              <w:rPr>
                <w:rFonts w:asciiTheme="majorEastAsia" w:hAnsiTheme="majorEastAsia" w:eastAsiaTheme="majorEastAsia"/>
                <w:sz w:val="20"/>
                <w:szCs w:val="20"/>
              </w:rPr>
            </w:pPr>
          </w:p>
        </w:tc>
        <w:tc>
          <w:tcPr>
            <w:tcW w:w="302" w:type="pct"/>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1</w:t>
            </w:r>
          </w:p>
        </w:tc>
        <w:tc>
          <w:tcPr>
            <w:tcW w:w="1845" w:type="pct"/>
            <w:shd w:val="clear" w:color="000000" w:fill="FFFFFF"/>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G246钟山区大河至下扒瓦公路</w:t>
            </w:r>
          </w:p>
        </w:tc>
        <w:tc>
          <w:tcPr>
            <w:tcW w:w="443"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p>
        </w:tc>
        <w:tc>
          <w:tcPr>
            <w:tcW w:w="504" w:type="pct"/>
            <w:shd w:val="clear" w:color="auto" w:fill="auto"/>
            <w:vAlign w:val="center"/>
          </w:tcPr>
          <w:p>
            <w:pPr>
              <w:spacing w:line="240" w:lineRule="auto"/>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17</w:t>
            </w:r>
          </w:p>
        </w:tc>
        <w:tc>
          <w:tcPr>
            <w:tcW w:w="374" w:type="pct"/>
            <w:shd w:val="clear" w:color="auto" w:fill="auto"/>
            <w:vAlign w:val="center"/>
          </w:tcPr>
          <w:p>
            <w:pPr>
              <w:spacing w:line="240" w:lineRule="auto"/>
              <w:jc w:val="center"/>
              <w:rPr>
                <w:rFonts w:asciiTheme="majorEastAsia" w:hAnsiTheme="majorEastAsia" w:eastAsiaTheme="majorEastAsia"/>
                <w:sz w:val="20"/>
                <w:szCs w:val="20"/>
              </w:rPr>
            </w:pPr>
            <w:r>
              <w:rPr>
                <w:rFonts w:asciiTheme="majorEastAsia" w:hAnsiTheme="majorEastAsia" w:eastAsiaTheme="majorEastAsia"/>
                <w:sz w:val="20"/>
                <w:szCs w:val="20"/>
              </w:rPr>
              <w:t>2016</w:t>
            </w:r>
          </w:p>
        </w:tc>
        <w:tc>
          <w:tcPr>
            <w:tcW w:w="447"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201</w:t>
            </w:r>
            <w:r>
              <w:rPr>
                <w:rFonts w:hint="eastAsia" w:asciiTheme="majorEastAsia" w:hAnsiTheme="majorEastAsia" w:eastAsiaTheme="majorEastAsia"/>
                <w:sz w:val="20"/>
                <w:szCs w:val="20"/>
              </w:rPr>
              <w:t>7</w:t>
            </w:r>
          </w:p>
        </w:tc>
        <w:tc>
          <w:tcPr>
            <w:tcW w:w="784"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4" w:hRule="atLeast"/>
          <w:jc w:val="center"/>
        </w:trPr>
        <w:tc>
          <w:tcPr>
            <w:tcW w:w="302" w:type="pct"/>
            <w:vMerge w:val="continue"/>
            <w:vAlign w:val="center"/>
          </w:tcPr>
          <w:p>
            <w:pPr>
              <w:widowControl/>
              <w:spacing w:line="240" w:lineRule="auto"/>
              <w:jc w:val="center"/>
              <w:textAlignment w:val="center"/>
              <w:rPr>
                <w:rFonts w:asciiTheme="majorEastAsia" w:hAnsiTheme="majorEastAsia" w:eastAsiaTheme="majorEastAsia"/>
                <w:sz w:val="20"/>
                <w:szCs w:val="20"/>
              </w:rPr>
            </w:pPr>
          </w:p>
        </w:tc>
        <w:tc>
          <w:tcPr>
            <w:tcW w:w="302" w:type="pct"/>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2</w:t>
            </w:r>
          </w:p>
        </w:tc>
        <w:tc>
          <w:tcPr>
            <w:tcW w:w="1845" w:type="pct"/>
            <w:shd w:val="clear" w:color="000000" w:fill="FFFFFF"/>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G320盘州两河至红果公路</w:t>
            </w:r>
          </w:p>
        </w:tc>
        <w:tc>
          <w:tcPr>
            <w:tcW w:w="443"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12</w:t>
            </w:r>
          </w:p>
        </w:tc>
        <w:tc>
          <w:tcPr>
            <w:tcW w:w="504" w:type="pct"/>
            <w:shd w:val="clear" w:color="auto" w:fill="auto"/>
            <w:vAlign w:val="center"/>
          </w:tcPr>
          <w:p>
            <w:pPr>
              <w:spacing w:line="240" w:lineRule="auto"/>
              <w:jc w:val="center"/>
              <w:rPr>
                <w:rFonts w:asciiTheme="majorEastAsia" w:hAnsiTheme="majorEastAsia" w:eastAsiaTheme="majorEastAsia"/>
                <w:sz w:val="20"/>
                <w:szCs w:val="20"/>
              </w:rPr>
            </w:pPr>
          </w:p>
        </w:tc>
        <w:tc>
          <w:tcPr>
            <w:tcW w:w="374" w:type="pct"/>
            <w:shd w:val="clear" w:color="auto" w:fill="auto"/>
            <w:vAlign w:val="center"/>
          </w:tcPr>
          <w:p>
            <w:pPr>
              <w:spacing w:line="240" w:lineRule="auto"/>
              <w:jc w:val="center"/>
              <w:rPr>
                <w:rFonts w:asciiTheme="majorEastAsia" w:hAnsiTheme="majorEastAsia" w:eastAsiaTheme="majorEastAsia"/>
                <w:sz w:val="20"/>
                <w:szCs w:val="20"/>
              </w:rPr>
            </w:pPr>
            <w:r>
              <w:rPr>
                <w:rFonts w:asciiTheme="majorEastAsia" w:hAnsiTheme="majorEastAsia" w:eastAsiaTheme="majorEastAsia"/>
                <w:sz w:val="20"/>
                <w:szCs w:val="20"/>
              </w:rPr>
              <w:t>201</w:t>
            </w:r>
            <w:r>
              <w:rPr>
                <w:rFonts w:hint="eastAsia" w:asciiTheme="majorEastAsia" w:hAnsiTheme="majorEastAsia" w:eastAsiaTheme="majorEastAsia"/>
                <w:sz w:val="20"/>
                <w:szCs w:val="20"/>
              </w:rPr>
              <w:t>5</w:t>
            </w:r>
          </w:p>
        </w:tc>
        <w:tc>
          <w:tcPr>
            <w:tcW w:w="447"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201</w:t>
            </w:r>
            <w:r>
              <w:rPr>
                <w:rFonts w:hint="eastAsia" w:asciiTheme="majorEastAsia" w:hAnsiTheme="majorEastAsia" w:eastAsiaTheme="majorEastAsia"/>
                <w:sz w:val="20"/>
                <w:szCs w:val="20"/>
              </w:rPr>
              <w:t>7</w:t>
            </w:r>
          </w:p>
        </w:tc>
        <w:tc>
          <w:tcPr>
            <w:tcW w:w="784"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302" w:type="pct"/>
            <w:vMerge w:val="continue"/>
            <w:vAlign w:val="center"/>
          </w:tcPr>
          <w:p>
            <w:pPr>
              <w:widowControl/>
              <w:spacing w:line="240" w:lineRule="auto"/>
              <w:jc w:val="center"/>
              <w:textAlignment w:val="center"/>
              <w:rPr>
                <w:rFonts w:asciiTheme="majorEastAsia" w:hAnsiTheme="majorEastAsia" w:eastAsiaTheme="majorEastAsia"/>
                <w:sz w:val="20"/>
                <w:szCs w:val="20"/>
              </w:rPr>
            </w:pPr>
          </w:p>
        </w:tc>
        <w:tc>
          <w:tcPr>
            <w:tcW w:w="302" w:type="pct"/>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3</w:t>
            </w:r>
          </w:p>
        </w:tc>
        <w:tc>
          <w:tcPr>
            <w:tcW w:w="1845" w:type="pct"/>
            <w:shd w:val="clear" w:color="000000" w:fill="FFFFFF"/>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G356六枝大用至凉水井公路</w:t>
            </w:r>
          </w:p>
        </w:tc>
        <w:tc>
          <w:tcPr>
            <w:tcW w:w="443"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19</w:t>
            </w:r>
          </w:p>
        </w:tc>
        <w:tc>
          <w:tcPr>
            <w:tcW w:w="504" w:type="pct"/>
            <w:shd w:val="clear" w:color="auto" w:fill="auto"/>
            <w:vAlign w:val="center"/>
          </w:tcPr>
          <w:p>
            <w:pPr>
              <w:spacing w:line="240" w:lineRule="auto"/>
              <w:jc w:val="center"/>
              <w:rPr>
                <w:rFonts w:asciiTheme="majorEastAsia" w:hAnsiTheme="majorEastAsia" w:eastAsiaTheme="majorEastAsia"/>
                <w:sz w:val="20"/>
                <w:szCs w:val="20"/>
              </w:rPr>
            </w:pPr>
          </w:p>
        </w:tc>
        <w:tc>
          <w:tcPr>
            <w:tcW w:w="374" w:type="pct"/>
            <w:shd w:val="clear" w:color="auto" w:fill="auto"/>
            <w:vAlign w:val="center"/>
          </w:tcPr>
          <w:p>
            <w:pPr>
              <w:spacing w:line="240" w:lineRule="auto"/>
              <w:jc w:val="center"/>
              <w:rPr>
                <w:rFonts w:asciiTheme="majorEastAsia" w:hAnsiTheme="majorEastAsia" w:eastAsiaTheme="majorEastAsia"/>
                <w:sz w:val="20"/>
                <w:szCs w:val="20"/>
              </w:rPr>
            </w:pPr>
            <w:r>
              <w:rPr>
                <w:rFonts w:asciiTheme="majorEastAsia" w:hAnsiTheme="majorEastAsia" w:eastAsiaTheme="majorEastAsia"/>
                <w:sz w:val="20"/>
                <w:szCs w:val="20"/>
              </w:rPr>
              <w:t>2016</w:t>
            </w:r>
          </w:p>
        </w:tc>
        <w:tc>
          <w:tcPr>
            <w:tcW w:w="447"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201</w:t>
            </w:r>
            <w:r>
              <w:rPr>
                <w:rFonts w:hint="eastAsia" w:asciiTheme="majorEastAsia" w:hAnsiTheme="majorEastAsia" w:eastAsiaTheme="majorEastAsia"/>
                <w:sz w:val="20"/>
                <w:szCs w:val="20"/>
              </w:rPr>
              <w:t>7</w:t>
            </w:r>
          </w:p>
        </w:tc>
        <w:tc>
          <w:tcPr>
            <w:tcW w:w="784"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302" w:type="pct"/>
            <w:vMerge w:val="continue"/>
            <w:vAlign w:val="center"/>
          </w:tcPr>
          <w:p>
            <w:pPr>
              <w:widowControl/>
              <w:spacing w:line="240" w:lineRule="auto"/>
              <w:jc w:val="center"/>
              <w:textAlignment w:val="center"/>
              <w:rPr>
                <w:rFonts w:asciiTheme="majorEastAsia" w:hAnsiTheme="majorEastAsia" w:eastAsiaTheme="majorEastAsia"/>
                <w:sz w:val="20"/>
                <w:szCs w:val="20"/>
              </w:rPr>
            </w:pPr>
          </w:p>
        </w:tc>
        <w:tc>
          <w:tcPr>
            <w:tcW w:w="302" w:type="pct"/>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4</w:t>
            </w:r>
          </w:p>
        </w:tc>
        <w:tc>
          <w:tcPr>
            <w:tcW w:w="1845"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G320盘州刘官至两河公路</w:t>
            </w:r>
          </w:p>
        </w:tc>
        <w:tc>
          <w:tcPr>
            <w:tcW w:w="443"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10</w:t>
            </w:r>
          </w:p>
        </w:tc>
        <w:tc>
          <w:tcPr>
            <w:tcW w:w="504" w:type="pct"/>
            <w:shd w:val="clear" w:color="auto" w:fill="auto"/>
            <w:vAlign w:val="center"/>
          </w:tcPr>
          <w:p>
            <w:pPr>
              <w:spacing w:line="240" w:lineRule="auto"/>
              <w:jc w:val="center"/>
              <w:rPr>
                <w:rFonts w:asciiTheme="majorEastAsia" w:hAnsiTheme="majorEastAsia" w:eastAsiaTheme="majorEastAsia"/>
                <w:sz w:val="20"/>
                <w:szCs w:val="20"/>
              </w:rPr>
            </w:pPr>
          </w:p>
        </w:tc>
        <w:tc>
          <w:tcPr>
            <w:tcW w:w="374" w:type="pct"/>
            <w:shd w:val="clear" w:color="auto" w:fill="auto"/>
            <w:vAlign w:val="center"/>
          </w:tcPr>
          <w:p>
            <w:pPr>
              <w:spacing w:line="240" w:lineRule="auto"/>
              <w:jc w:val="center"/>
              <w:rPr>
                <w:rFonts w:asciiTheme="majorEastAsia" w:hAnsiTheme="majorEastAsia" w:eastAsiaTheme="majorEastAsia"/>
                <w:sz w:val="20"/>
                <w:szCs w:val="20"/>
              </w:rPr>
            </w:pPr>
            <w:r>
              <w:rPr>
                <w:rFonts w:asciiTheme="majorEastAsia" w:hAnsiTheme="majorEastAsia" w:eastAsiaTheme="majorEastAsia"/>
                <w:sz w:val="20"/>
                <w:szCs w:val="20"/>
              </w:rPr>
              <w:t>201</w:t>
            </w:r>
            <w:r>
              <w:rPr>
                <w:rFonts w:hint="eastAsia" w:asciiTheme="majorEastAsia" w:hAnsiTheme="majorEastAsia" w:eastAsiaTheme="majorEastAsia"/>
                <w:sz w:val="20"/>
                <w:szCs w:val="20"/>
              </w:rPr>
              <w:t>7</w:t>
            </w:r>
          </w:p>
        </w:tc>
        <w:tc>
          <w:tcPr>
            <w:tcW w:w="447"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20</w:t>
            </w:r>
            <w:r>
              <w:rPr>
                <w:rFonts w:hint="eastAsia" w:asciiTheme="majorEastAsia" w:hAnsiTheme="majorEastAsia" w:eastAsiaTheme="majorEastAsia"/>
                <w:sz w:val="20"/>
                <w:szCs w:val="20"/>
              </w:rPr>
              <w:t>18</w:t>
            </w:r>
          </w:p>
        </w:tc>
        <w:tc>
          <w:tcPr>
            <w:tcW w:w="784"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302" w:type="pct"/>
            <w:vMerge w:val="continue"/>
            <w:vAlign w:val="center"/>
          </w:tcPr>
          <w:p>
            <w:pPr>
              <w:widowControl/>
              <w:spacing w:line="240" w:lineRule="auto"/>
              <w:jc w:val="center"/>
              <w:textAlignment w:val="center"/>
              <w:rPr>
                <w:rFonts w:asciiTheme="majorEastAsia" w:hAnsiTheme="majorEastAsia" w:eastAsiaTheme="majorEastAsia"/>
                <w:sz w:val="20"/>
                <w:szCs w:val="20"/>
              </w:rPr>
            </w:pPr>
          </w:p>
        </w:tc>
        <w:tc>
          <w:tcPr>
            <w:tcW w:w="302" w:type="pct"/>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5</w:t>
            </w:r>
          </w:p>
        </w:tc>
        <w:tc>
          <w:tcPr>
            <w:tcW w:w="1845"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G246盘州刘官至赵官公路</w:t>
            </w:r>
          </w:p>
        </w:tc>
        <w:tc>
          <w:tcPr>
            <w:tcW w:w="443"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10</w:t>
            </w:r>
          </w:p>
        </w:tc>
        <w:tc>
          <w:tcPr>
            <w:tcW w:w="504" w:type="pct"/>
            <w:shd w:val="clear" w:color="auto" w:fill="auto"/>
            <w:vAlign w:val="center"/>
          </w:tcPr>
          <w:p>
            <w:pPr>
              <w:spacing w:line="240" w:lineRule="auto"/>
              <w:jc w:val="center"/>
              <w:rPr>
                <w:rFonts w:asciiTheme="majorEastAsia" w:hAnsiTheme="majorEastAsia" w:eastAsiaTheme="majorEastAsia"/>
                <w:sz w:val="20"/>
                <w:szCs w:val="20"/>
              </w:rPr>
            </w:pPr>
          </w:p>
        </w:tc>
        <w:tc>
          <w:tcPr>
            <w:tcW w:w="374" w:type="pct"/>
            <w:shd w:val="clear" w:color="auto" w:fill="auto"/>
            <w:vAlign w:val="center"/>
          </w:tcPr>
          <w:p>
            <w:pPr>
              <w:spacing w:line="240" w:lineRule="auto"/>
              <w:jc w:val="center"/>
              <w:rPr>
                <w:rFonts w:asciiTheme="majorEastAsia" w:hAnsiTheme="majorEastAsia" w:eastAsiaTheme="majorEastAsia"/>
                <w:sz w:val="20"/>
                <w:szCs w:val="20"/>
              </w:rPr>
            </w:pPr>
            <w:r>
              <w:rPr>
                <w:rFonts w:asciiTheme="majorEastAsia" w:hAnsiTheme="majorEastAsia" w:eastAsiaTheme="majorEastAsia"/>
                <w:sz w:val="20"/>
                <w:szCs w:val="20"/>
              </w:rPr>
              <w:t>201</w:t>
            </w:r>
            <w:r>
              <w:rPr>
                <w:rFonts w:hint="eastAsia" w:asciiTheme="majorEastAsia" w:hAnsiTheme="majorEastAsia" w:eastAsiaTheme="majorEastAsia"/>
                <w:sz w:val="20"/>
                <w:szCs w:val="20"/>
              </w:rPr>
              <w:t>7</w:t>
            </w:r>
          </w:p>
        </w:tc>
        <w:tc>
          <w:tcPr>
            <w:tcW w:w="447"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201</w:t>
            </w:r>
            <w:r>
              <w:rPr>
                <w:rFonts w:hint="eastAsia" w:asciiTheme="majorEastAsia" w:hAnsiTheme="majorEastAsia" w:eastAsiaTheme="majorEastAsia"/>
                <w:sz w:val="20"/>
                <w:szCs w:val="20"/>
              </w:rPr>
              <w:t>8</w:t>
            </w:r>
          </w:p>
        </w:tc>
        <w:tc>
          <w:tcPr>
            <w:tcW w:w="784"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302" w:type="pct"/>
            <w:vMerge w:val="continue"/>
            <w:vAlign w:val="center"/>
          </w:tcPr>
          <w:p>
            <w:pPr>
              <w:widowControl/>
              <w:spacing w:line="240" w:lineRule="auto"/>
              <w:jc w:val="center"/>
              <w:textAlignment w:val="center"/>
              <w:rPr>
                <w:rFonts w:asciiTheme="majorEastAsia" w:hAnsiTheme="majorEastAsia" w:eastAsiaTheme="majorEastAsia"/>
                <w:sz w:val="20"/>
                <w:szCs w:val="20"/>
              </w:rPr>
            </w:pPr>
          </w:p>
        </w:tc>
        <w:tc>
          <w:tcPr>
            <w:tcW w:w="302" w:type="pct"/>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6</w:t>
            </w:r>
          </w:p>
        </w:tc>
        <w:tc>
          <w:tcPr>
            <w:tcW w:w="1845" w:type="pct"/>
            <w:shd w:val="clear" w:color="000000" w:fill="FFFFFF"/>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G320盘州火铺至胜境关公路</w:t>
            </w:r>
          </w:p>
        </w:tc>
        <w:tc>
          <w:tcPr>
            <w:tcW w:w="443" w:type="pct"/>
            <w:shd w:val="clear" w:color="000000" w:fill="FFFFFF"/>
            <w:vAlign w:val="center"/>
          </w:tcPr>
          <w:p>
            <w:pPr>
              <w:widowControl/>
              <w:spacing w:line="240" w:lineRule="auto"/>
              <w:jc w:val="center"/>
              <w:textAlignment w:val="center"/>
              <w:rPr>
                <w:rFonts w:asciiTheme="majorEastAsia" w:hAnsiTheme="majorEastAsia" w:eastAsiaTheme="majorEastAsia"/>
                <w:sz w:val="20"/>
                <w:szCs w:val="20"/>
              </w:rPr>
            </w:pPr>
          </w:p>
        </w:tc>
        <w:tc>
          <w:tcPr>
            <w:tcW w:w="504" w:type="pct"/>
            <w:shd w:val="clear" w:color="000000" w:fill="FFFFFF"/>
            <w:vAlign w:val="center"/>
          </w:tcPr>
          <w:p>
            <w:pPr>
              <w:spacing w:line="240" w:lineRule="auto"/>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13</w:t>
            </w:r>
          </w:p>
        </w:tc>
        <w:tc>
          <w:tcPr>
            <w:tcW w:w="374" w:type="pct"/>
            <w:shd w:val="clear" w:color="000000" w:fill="FFFFFF"/>
            <w:vAlign w:val="center"/>
          </w:tcPr>
          <w:p>
            <w:pPr>
              <w:spacing w:line="240" w:lineRule="auto"/>
              <w:jc w:val="center"/>
              <w:rPr>
                <w:rFonts w:asciiTheme="majorEastAsia" w:hAnsiTheme="majorEastAsia" w:eastAsiaTheme="majorEastAsia"/>
                <w:sz w:val="20"/>
                <w:szCs w:val="20"/>
              </w:rPr>
            </w:pPr>
            <w:r>
              <w:rPr>
                <w:rFonts w:asciiTheme="majorEastAsia" w:hAnsiTheme="majorEastAsia" w:eastAsiaTheme="majorEastAsia"/>
                <w:sz w:val="20"/>
                <w:szCs w:val="20"/>
              </w:rPr>
              <w:t>201</w:t>
            </w:r>
            <w:r>
              <w:rPr>
                <w:rFonts w:hint="eastAsia" w:asciiTheme="majorEastAsia" w:hAnsiTheme="majorEastAsia" w:eastAsiaTheme="majorEastAsia"/>
                <w:sz w:val="20"/>
                <w:szCs w:val="20"/>
              </w:rPr>
              <w:t>8</w:t>
            </w:r>
          </w:p>
        </w:tc>
        <w:tc>
          <w:tcPr>
            <w:tcW w:w="447" w:type="pct"/>
            <w:shd w:val="clear" w:color="000000" w:fill="FFFFFF"/>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201</w:t>
            </w:r>
            <w:r>
              <w:rPr>
                <w:rFonts w:hint="eastAsia" w:asciiTheme="majorEastAsia" w:hAnsiTheme="majorEastAsia" w:eastAsiaTheme="majorEastAsia"/>
                <w:sz w:val="20"/>
                <w:szCs w:val="20"/>
              </w:rPr>
              <w:t>9</w:t>
            </w:r>
          </w:p>
        </w:tc>
        <w:tc>
          <w:tcPr>
            <w:tcW w:w="784" w:type="pct"/>
            <w:shd w:val="clear" w:color="000000" w:fill="FFFFFF"/>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302" w:type="pct"/>
            <w:vMerge w:val="continue"/>
            <w:vAlign w:val="center"/>
          </w:tcPr>
          <w:p>
            <w:pPr>
              <w:widowControl/>
              <w:spacing w:line="240" w:lineRule="auto"/>
              <w:jc w:val="center"/>
              <w:textAlignment w:val="center"/>
              <w:rPr>
                <w:rFonts w:asciiTheme="majorEastAsia" w:hAnsiTheme="majorEastAsia" w:eastAsiaTheme="majorEastAsia"/>
                <w:sz w:val="20"/>
                <w:szCs w:val="20"/>
              </w:rPr>
            </w:pPr>
          </w:p>
        </w:tc>
        <w:tc>
          <w:tcPr>
            <w:tcW w:w="302" w:type="pct"/>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7</w:t>
            </w:r>
          </w:p>
        </w:tc>
        <w:tc>
          <w:tcPr>
            <w:tcW w:w="1845" w:type="pct"/>
            <w:shd w:val="clear" w:color="000000" w:fill="FFFFFF"/>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G246水城丰家垭口至观音山公路</w:t>
            </w:r>
          </w:p>
        </w:tc>
        <w:tc>
          <w:tcPr>
            <w:tcW w:w="443" w:type="pct"/>
            <w:shd w:val="clear" w:color="000000" w:fill="FFFFFF"/>
            <w:vAlign w:val="center"/>
          </w:tcPr>
          <w:p>
            <w:pPr>
              <w:widowControl/>
              <w:spacing w:line="240" w:lineRule="auto"/>
              <w:jc w:val="center"/>
              <w:textAlignment w:val="center"/>
              <w:rPr>
                <w:rFonts w:asciiTheme="majorEastAsia" w:hAnsiTheme="majorEastAsia" w:eastAsiaTheme="majorEastAsia"/>
                <w:sz w:val="20"/>
                <w:szCs w:val="20"/>
              </w:rPr>
            </w:pPr>
          </w:p>
        </w:tc>
        <w:tc>
          <w:tcPr>
            <w:tcW w:w="504" w:type="pct"/>
            <w:shd w:val="clear" w:color="000000" w:fill="FFFFFF"/>
            <w:vAlign w:val="center"/>
          </w:tcPr>
          <w:p>
            <w:pPr>
              <w:spacing w:line="240" w:lineRule="auto"/>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29.3</w:t>
            </w:r>
          </w:p>
        </w:tc>
        <w:tc>
          <w:tcPr>
            <w:tcW w:w="374" w:type="pct"/>
            <w:shd w:val="clear" w:color="000000" w:fill="FFFFFF"/>
            <w:vAlign w:val="center"/>
          </w:tcPr>
          <w:p>
            <w:pPr>
              <w:spacing w:line="240" w:lineRule="auto"/>
              <w:jc w:val="center"/>
              <w:rPr>
                <w:rFonts w:asciiTheme="majorEastAsia" w:hAnsiTheme="majorEastAsia" w:eastAsiaTheme="majorEastAsia"/>
                <w:sz w:val="20"/>
                <w:szCs w:val="20"/>
              </w:rPr>
            </w:pPr>
            <w:r>
              <w:rPr>
                <w:rFonts w:asciiTheme="majorEastAsia" w:hAnsiTheme="majorEastAsia" w:eastAsiaTheme="majorEastAsia"/>
                <w:sz w:val="20"/>
                <w:szCs w:val="20"/>
              </w:rPr>
              <w:t>201</w:t>
            </w:r>
            <w:r>
              <w:rPr>
                <w:rFonts w:hint="eastAsia" w:asciiTheme="majorEastAsia" w:hAnsiTheme="majorEastAsia" w:eastAsiaTheme="majorEastAsia"/>
                <w:sz w:val="20"/>
                <w:szCs w:val="20"/>
              </w:rPr>
              <w:t>9</w:t>
            </w:r>
          </w:p>
        </w:tc>
        <w:tc>
          <w:tcPr>
            <w:tcW w:w="447" w:type="pct"/>
            <w:shd w:val="clear" w:color="000000" w:fill="FFFFFF"/>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20</w:t>
            </w:r>
            <w:r>
              <w:rPr>
                <w:rFonts w:hint="eastAsia" w:asciiTheme="majorEastAsia" w:hAnsiTheme="majorEastAsia" w:eastAsiaTheme="majorEastAsia"/>
                <w:sz w:val="20"/>
                <w:szCs w:val="20"/>
              </w:rPr>
              <w:t>20</w:t>
            </w:r>
          </w:p>
        </w:tc>
        <w:tc>
          <w:tcPr>
            <w:tcW w:w="784" w:type="pct"/>
            <w:shd w:val="clear" w:color="000000" w:fill="FFFFFF"/>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302" w:type="pct"/>
            <w:vMerge w:val="continue"/>
            <w:vAlign w:val="center"/>
          </w:tcPr>
          <w:p>
            <w:pPr>
              <w:widowControl/>
              <w:spacing w:line="240" w:lineRule="auto"/>
              <w:jc w:val="center"/>
              <w:textAlignment w:val="center"/>
              <w:rPr>
                <w:rFonts w:asciiTheme="majorEastAsia" w:hAnsiTheme="majorEastAsia" w:eastAsiaTheme="majorEastAsia"/>
                <w:sz w:val="20"/>
                <w:szCs w:val="20"/>
              </w:rPr>
            </w:pPr>
          </w:p>
        </w:tc>
        <w:tc>
          <w:tcPr>
            <w:tcW w:w="302" w:type="pct"/>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8</w:t>
            </w:r>
          </w:p>
        </w:tc>
        <w:tc>
          <w:tcPr>
            <w:tcW w:w="1845"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G356水城石板沟至双水公路</w:t>
            </w:r>
          </w:p>
        </w:tc>
        <w:tc>
          <w:tcPr>
            <w:tcW w:w="443"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p>
        </w:tc>
        <w:tc>
          <w:tcPr>
            <w:tcW w:w="504" w:type="pct"/>
            <w:shd w:val="clear" w:color="auto" w:fill="auto"/>
            <w:vAlign w:val="center"/>
          </w:tcPr>
          <w:p>
            <w:pPr>
              <w:spacing w:line="240" w:lineRule="auto"/>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24.5</w:t>
            </w:r>
          </w:p>
        </w:tc>
        <w:tc>
          <w:tcPr>
            <w:tcW w:w="374" w:type="pct"/>
            <w:shd w:val="clear" w:color="auto" w:fill="auto"/>
            <w:vAlign w:val="center"/>
          </w:tcPr>
          <w:p>
            <w:pPr>
              <w:spacing w:line="240" w:lineRule="auto"/>
              <w:jc w:val="center"/>
              <w:rPr>
                <w:rFonts w:asciiTheme="majorEastAsia" w:hAnsiTheme="majorEastAsia" w:eastAsiaTheme="majorEastAsia"/>
                <w:sz w:val="20"/>
                <w:szCs w:val="20"/>
              </w:rPr>
            </w:pPr>
            <w:r>
              <w:rPr>
                <w:rFonts w:asciiTheme="majorEastAsia" w:hAnsiTheme="majorEastAsia" w:eastAsiaTheme="majorEastAsia"/>
                <w:sz w:val="20"/>
                <w:szCs w:val="20"/>
              </w:rPr>
              <w:t>201</w:t>
            </w:r>
            <w:r>
              <w:rPr>
                <w:rFonts w:hint="eastAsia" w:asciiTheme="majorEastAsia" w:hAnsiTheme="majorEastAsia" w:eastAsiaTheme="majorEastAsia"/>
                <w:sz w:val="20"/>
                <w:szCs w:val="20"/>
              </w:rPr>
              <w:t>9</w:t>
            </w:r>
          </w:p>
        </w:tc>
        <w:tc>
          <w:tcPr>
            <w:tcW w:w="447"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20</w:t>
            </w:r>
            <w:r>
              <w:rPr>
                <w:rFonts w:hint="eastAsia" w:asciiTheme="majorEastAsia" w:hAnsiTheme="majorEastAsia" w:eastAsiaTheme="majorEastAsia"/>
                <w:sz w:val="20"/>
                <w:szCs w:val="20"/>
              </w:rPr>
              <w:t>20</w:t>
            </w:r>
          </w:p>
        </w:tc>
        <w:tc>
          <w:tcPr>
            <w:tcW w:w="784"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302" w:type="pct"/>
            <w:vMerge w:val="continue"/>
            <w:vAlign w:val="center"/>
          </w:tcPr>
          <w:p>
            <w:pPr>
              <w:widowControl/>
              <w:spacing w:line="240" w:lineRule="auto"/>
              <w:jc w:val="center"/>
              <w:textAlignment w:val="center"/>
              <w:rPr>
                <w:rFonts w:asciiTheme="majorEastAsia" w:hAnsiTheme="majorEastAsia" w:eastAsiaTheme="majorEastAsia"/>
                <w:sz w:val="20"/>
                <w:szCs w:val="20"/>
              </w:rPr>
            </w:pPr>
          </w:p>
        </w:tc>
        <w:tc>
          <w:tcPr>
            <w:tcW w:w="302" w:type="pct"/>
            <w:vAlign w:val="center"/>
          </w:tcPr>
          <w:p>
            <w:pPr>
              <w:widowControl/>
              <w:spacing w:line="240" w:lineRule="auto"/>
              <w:jc w:val="center"/>
              <w:textAlignment w:val="center"/>
              <w:rPr>
                <w:rFonts w:asciiTheme="majorEastAsia" w:hAnsiTheme="majorEastAsia" w:eastAsiaTheme="majorEastAsia"/>
                <w:sz w:val="20"/>
                <w:szCs w:val="20"/>
              </w:rPr>
            </w:pPr>
          </w:p>
        </w:tc>
        <w:tc>
          <w:tcPr>
            <w:tcW w:w="1845" w:type="pct"/>
            <w:vAlign w:val="center"/>
          </w:tcPr>
          <w:p>
            <w:pPr>
              <w:widowControl/>
              <w:spacing w:line="240" w:lineRule="auto"/>
              <w:jc w:val="center"/>
              <w:textAlignment w:val="center"/>
              <w:rPr>
                <w:rFonts w:asciiTheme="majorEastAsia" w:hAnsiTheme="majorEastAsia" w:eastAsiaTheme="majorEastAsia"/>
                <w:b/>
                <w:bCs/>
                <w:sz w:val="20"/>
                <w:szCs w:val="20"/>
              </w:rPr>
            </w:pPr>
            <w:r>
              <w:rPr>
                <w:rFonts w:asciiTheme="majorEastAsia" w:hAnsiTheme="majorEastAsia" w:eastAsiaTheme="majorEastAsia"/>
                <w:b/>
                <w:bCs/>
                <w:sz w:val="20"/>
                <w:szCs w:val="20"/>
              </w:rPr>
              <w:t>省道项目</w:t>
            </w:r>
          </w:p>
        </w:tc>
        <w:tc>
          <w:tcPr>
            <w:tcW w:w="443" w:type="pct"/>
            <w:vAlign w:val="center"/>
          </w:tcPr>
          <w:p>
            <w:pPr>
              <w:widowControl/>
              <w:spacing w:line="240" w:lineRule="auto"/>
              <w:jc w:val="center"/>
              <w:textAlignment w:val="center"/>
              <w:rPr>
                <w:rFonts w:asciiTheme="majorEastAsia" w:hAnsiTheme="majorEastAsia" w:eastAsiaTheme="majorEastAsia"/>
                <w:b/>
                <w:bCs/>
                <w:sz w:val="20"/>
                <w:szCs w:val="20"/>
              </w:rPr>
            </w:pPr>
          </w:p>
        </w:tc>
        <w:tc>
          <w:tcPr>
            <w:tcW w:w="504" w:type="pct"/>
            <w:vAlign w:val="center"/>
          </w:tcPr>
          <w:p>
            <w:pPr>
              <w:spacing w:line="240" w:lineRule="auto"/>
              <w:jc w:val="center"/>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96</w:t>
            </w:r>
          </w:p>
        </w:tc>
        <w:tc>
          <w:tcPr>
            <w:tcW w:w="374" w:type="pct"/>
            <w:vAlign w:val="center"/>
          </w:tcPr>
          <w:p>
            <w:pPr>
              <w:spacing w:line="240" w:lineRule="auto"/>
              <w:jc w:val="center"/>
              <w:rPr>
                <w:rFonts w:asciiTheme="majorEastAsia" w:hAnsiTheme="majorEastAsia" w:eastAsiaTheme="majorEastAsia"/>
                <w:b/>
                <w:bCs/>
                <w:sz w:val="20"/>
                <w:szCs w:val="20"/>
              </w:rPr>
            </w:pPr>
          </w:p>
        </w:tc>
        <w:tc>
          <w:tcPr>
            <w:tcW w:w="447" w:type="pct"/>
            <w:vAlign w:val="center"/>
          </w:tcPr>
          <w:p>
            <w:pPr>
              <w:spacing w:line="240" w:lineRule="auto"/>
              <w:jc w:val="center"/>
              <w:rPr>
                <w:rFonts w:asciiTheme="majorEastAsia" w:hAnsiTheme="majorEastAsia" w:eastAsiaTheme="majorEastAsia"/>
                <w:b/>
                <w:bCs/>
                <w:sz w:val="20"/>
                <w:szCs w:val="20"/>
              </w:rPr>
            </w:pPr>
          </w:p>
        </w:tc>
        <w:tc>
          <w:tcPr>
            <w:tcW w:w="784" w:type="pct"/>
            <w:vAlign w:val="center"/>
          </w:tcPr>
          <w:p>
            <w:pPr>
              <w:spacing w:line="240" w:lineRule="auto"/>
              <w:jc w:val="center"/>
              <w:rPr>
                <w:rFonts w:asciiTheme="majorEastAsia" w:hAnsiTheme="majorEastAsia" w:eastAsiaTheme="majorEastAsia"/>
                <w:b/>
                <w:bCs/>
                <w:sz w:val="20"/>
                <w:szCs w:val="20"/>
              </w:rPr>
            </w:pPr>
            <w:r>
              <w:rPr>
                <w:rFonts w:asciiTheme="majorEastAsia" w:hAnsiTheme="majorEastAsia" w:eastAsiaTheme="majorEastAsia"/>
                <w:b/>
                <w:bCs/>
                <w:sz w:val="20"/>
                <w:szCs w:val="20"/>
              </w:rPr>
              <w:t>31.35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302" w:type="pct"/>
            <w:vMerge w:val="continue"/>
            <w:vAlign w:val="center"/>
          </w:tcPr>
          <w:p>
            <w:pPr>
              <w:widowControl/>
              <w:spacing w:line="240" w:lineRule="auto"/>
              <w:jc w:val="center"/>
              <w:textAlignment w:val="center"/>
              <w:rPr>
                <w:rFonts w:asciiTheme="majorEastAsia" w:hAnsiTheme="majorEastAsia" w:eastAsiaTheme="majorEastAsia"/>
                <w:sz w:val="20"/>
                <w:szCs w:val="20"/>
              </w:rPr>
            </w:pPr>
          </w:p>
        </w:tc>
        <w:tc>
          <w:tcPr>
            <w:tcW w:w="302" w:type="pct"/>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1</w:t>
            </w:r>
          </w:p>
        </w:tc>
        <w:tc>
          <w:tcPr>
            <w:tcW w:w="1845"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S214六枝至郎岱公路</w:t>
            </w:r>
          </w:p>
        </w:tc>
        <w:tc>
          <w:tcPr>
            <w:tcW w:w="443" w:type="pct"/>
            <w:vAlign w:val="center"/>
          </w:tcPr>
          <w:p>
            <w:pPr>
              <w:widowControl/>
              <w:spacing w:line="240" w:lineRule="auto"/>
              <w:jc w:val="center"/>
              <w:textAlignment w:val="center"/>
              <w:rPr>
                <w:rFonts w:asciiTheme="majorEastAsia" w:hAnsiTheme="majorEastAsia" w:eastAsiaTheme="majorEastAsia"/>
                <w:sz w:val="20"/>
                <w:szCs w:val="20"/>
              </w:rPr>
            </w:pPr>
          </w:p>
        </w:tc>
        <w:tc>
          <w:tcPr>
            <w:tcW w:w="504" w:type="pct"/>
            <w:shd w:val="clear" w:color="000000" w:fill="FFFFFF"/>
            <w:vAlign w:val="center"/>
          </w:tcPr>
          <w:p>
            <w:pPr>
              <w:spacing w:line="240" w:lineRule="auto"/>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36</w:t>
            </w:r>
          </w:p>
        </w:tc>
        <w:tc>
          <w:tcPr>
            <w:tcW w:w="374" w:type="pct"/>
            <w:shd w:val="clear" w:color="000000" w:fill="FFFFFF"/>
            <w:vAlign w:val="center"/>
          </w:tcPr>
          <w:p>
            <w:pPr>
              <w:spacing w:line="240" w:lineRule="auto"/>
              <w:jc w:val="center"/>
              <w:rPr>
                <w:rFonts w:asciiTheme="majorEastAsia" w:hAnsiTheme="majorEastAsia" w:eastAsiaTheme="majorEastAsia"/>
                <w:sz w:val="20"/>
                <w:szCs w:val="20"/>
              </w:rPr>
            </w:pPr>
            <w:r>
              <w:rPr>
                <w:rFonts w:asciiTheme="majorEastAsia" w:hAnsiTheme="majorEastAsia" w:eastAsiaTheme="majorEastAsia"/>
                <w:sz w:val="20"/>
                <w:szCs w:val="20"/>
              </w:rPr>
              <w:t>201</w:t>
            </w:r>
            <w:r>
              <w:rPr>
                <w:rFonts w:hint="eastAsia" w:asciiTheme="majorEastAsia" w:hAnsiTheme="majorEastAsia" w:eastAsiaTheme="majorEastAsia"/>
                <w:sz w:val="20"/>
                <w:szCs w:val="20"/>
              </w:rPr>
              <w:t>4</w:t>
            </w:r>
          </w:p>
        </w:tc>
        <w:tc>
          <w:tcPr>
            <w:tcW w:w="447" w:type="pct"/>
            <w:shd w:val="clear" w:color="000000" w:fill="FFFFFF"/>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201</w:t>
            </w:r>
            <w:r>
              <w:rPr>
                <w:rFonts w:hint="eastAsia" w:asciiTheme="majorEastAsia" w:hAnsiTheme="majorEastAsia" w:eastAsiaTheme="majorEastAsia"/>
                <w:sz w:val="20"/>
                <w:szCs w:val="20"/>
              </w:rPr>
              <w:t>6</w:t>
            </w:r>
          </w:p>
        </w:tc>
        <w:tc>
          <w:tcPr>
            <w:tcW w:w="784" w:type="pct"/>
            <w:shd w:val="clear" w:color="000000" w:fill="FFFFFF"/>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302" w:type="pct"/>
            <w:vMerge w:val="continue"/>
            <w:vAlign w:val="center"/>
          </w:tcPr>
          <w:p>
            <w:pPr>
              <w:widowControl/>
              <w:spacing w:line="240" w:lineRule="auto"/>
              <w:jc w:val="center"/>
              <w:textAlignment w:val="center"/>
              <w:rPr>
                <w:rFonts w:asciiTheme="majorEastAsia" w:hAnsiTheme="majorEastAsia" w:eastAsiaTheme="majorEastAsia"/>
                <w:sz w:val="20"/>
                <w:szCs w:val="20"/>
              </w:rPr>
            </w:pPr>
          </w:p>
        </w:tc>
        <w:tc>
          <w:tcPr>
            <w:tcW w:w="302" w:type="pct"/>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2</w:t>
            </w:r>
          </w:p>
        </w:tc>
        <w:tc>
          <w:tcPr>
            <w:tcW w:w="1845"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S215六枝郎岱至毛口公路</w:t>
            </w:r>
          </w:p>
        </w:tc>
        <w:tc>
          <w:tcPr>
            <w:tcW w:w="443" w:type="pct"/>
            <w:vAlign w:val="center"/>
          </w:tcPr>
          <w:p>
            <w:pPr>
              <w:widowControl/>
              <w:spacing w:line="240" w:lineRule="auto"/>
              <w:jc w:val="center"/>
              <w:textAlignment w:val="center"/>
              <w:rPr>
                <w:rFonts w:asciiTheme="majorEastAsia" w:hAnsiTheme="majorEastAsia" w:eastAsiaTheme="majorEastAsia"/>
                <w:sz w:val="20"/>
                <w:szCs w:val="20"/>
              </w:rPr>
            </w:pPr>
          </w:p>
        </w:tc>
        <w:tc>
          <w:tcPr>
            <w:tcW w:w="504" w:type="pct"/>
            <w:shd w:val="clear" w:color="000000" w:fill="FFFFFF"/>
            <w:vAlign w:val="center"/>
          </w:tcPr>
          <w:p>
            <w:pPr>
              <w:spacing w:line="240" w:lineRule="auto"/>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26</w:t>
            </w:r>
          </w:p>
        </w:tc>
        <w:tc>
          <w:tcPr>
            <w:tcW w:w="374" w:type="pct"/>
            <w:shd w:val="clear" w:color="000000" w:fill="FFFFFF"/>
            <w:vAlign w:val="center"/>
          </w:tcPr>
          <w:p>
            <w:pPr>
              <w:spacing w:line="240" w:lineRule="auto"/>
              <w:jc w:val="center"/>
              <w:rPr>
                <w:rFonts w:asciiTheme="majorEastAsia" w:hAnsiTheme="majorEastAsia" w:eastAsiaTheme="majorEastAsia"/>
                <w:sz w:val="20"/>
                <w:szCs w:val="20"/>
              </w:rPr>
            </w:pPr>
            <w:r>
              <w:rPr>
                <w:rFonts w:asciiTheme="majorEastAsia" w:hAnsiTheme="majorEastAsia" w:eastAsiaTheme="majorEastAsia"/>
                <w:sz w:val="20"/>
                <w:szCs w:val="20"/>
              </w:rPr>
              <w:t>2016</w:t>
            </w:r>
          </w:p>
        </w:tc>
        <w:tc>
          <w:tcPr>
            <w:tcW w:w="447" w:type="pct"/>
            <w:shd w:val="clear" w:color="000000" w:fill="FFFFFF"/>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201</w:t>
            </w:r>
            <w:r>
              <w:rPr>
                <w:rFonts w:hint="eastAsia" w:asciiTheme="majorEastAsia" w:hAnsiTheme="majorEastAsia" w:eastAsiaTheme="majorEastAsia"/>
                <w:sz w:val="20"/>
                <w:szCs w:val="20"/>
              </w:rPr>
              <w:t>7</w:t>
            </w:r>
          </w:p>
        </w:tc>
        <w:tc>
          <w:tcPr>
            <w:tcW w:w="784" w:type="pct"/>
            <w:shd w:val="clear" w:color="000000" w:fill="FFFFFF"/>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302" w:type="pct"/>
            <w:vMerge w:val="continue"/>
            <w:vAlign w:val="center"/>
          </w:tcPr>
          <w:p>
            <w:pPr>
              <w:widowControl/>
              <w:spacing w:line="240" w:lineRule="auto"/>
              <w:jc w:val="center"/>
              <w:textAlignment w:val="center"/>
              <w:rPr>
                <w:rFonts w:asciiTheme="majorEastAsia" w:hAnsiTheme="majorEastAsia" w:eastAsiaTheme="majorEastAsia"/>
                <w:sz w:val="20"/>
                <w:szCs w:val="20"/>
              </w:rPr>
            </w:pPr>
          </w:p>
        </w:tc>
        <w:tc>
          <w:tcPr>
            <w:tcW w:w="302" w:type="pct"/>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3</w:t>
            </w:r>
          </w:p>
        </w:tc>
        <w:tc>
          <w:tcPr>
            <w:tcW w:w="1845"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S310六枝新华至老卜底公路</w:t>
            </w:r>
          </w:p>
        </w:tc>
        <w:tc>
          <w:tcPr>
            <w:tcW w:w="443" w:type="pct"/>
            <w:vAlign w:val="center"/>
          </w:tcPr>
          <w:p>
            <w:pPr>
              <w:widowControl/>
              <w:spacing w:line="240" w:lineRule="auto"/>
              <w:jc w:val="center"/>
              <w:textAlignment w:val="center"/>
              <w:rPr>
                <w:rFonts w:asciiTheme="majorEastAsia" w:hAnsiTheme="majorEastAsia" w:eastAsiaTheme="majorEastAsia"/>
                <w:sz w:val="20"/>
                <w:szCs w:val="20"/>
              </w:rPr>
            </w:pPr>
          </w:p>
        </w:tc>
        <w:tc>
          <w:tcPr>
            <w:tcW w:w="504" w:type="pct"/>
            <w:shd w:val="clear" w:color="000000" w:fill="FFFFFF"/>
            <w:vAlign w:val="center"/>
          </w:tcPr>
          <w:p>
            <w:pPr>
              <w:spacing w:line="240" w:lineRule="auto"/>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13</w:t>
            </w:r>
          </w:p>
        </w:tc>
        <w:tc>
          <w:tcPr>
            <w:tcW w:w="374" w:type="pct"/>
            <w:shd w:val="clear" w:color="auto" w:fill="auto"/>
            <w:vAlign w:val="center"/>
          </w:tcPr>
          <w:p>
            <w:pPr>
              <w:spacing w:line="240" w:lineRule="auto"/>
              <w:jc w:val="center"/>
              <w:rPr>
                <w:rFonts w:asciiTheme="majorEastAsia" w:hAnsiTheme="majorEastAsia" w:eastAsiaTheme="majorEastAsia"/>
                <w:sz w:val="20"/>
                <w:szCs w:val="20"/>
              </w:rPr>
            </w:pPr>
            <w:r>
              <w:rPr>
                <w:rFonts w:asciiTheme="majorEastAsia" w:hAnsiTheme="majorEastAsia" w:eastAsiaTheme="majorEastAsia"/>
                <w:sz w:val="20"/>
                <w:szCs w:val="20"/>
              </w:rPr>
              <w:t>201</w:t>
            </w:r>
            <w:r>
              <w:rPr>
                <w:rFonts w:hint="eastAsia" w:asciiTheme="majorEastAsia" w:hAnsiTheme="majorEastAsia" w:eastAsiaTheme="majorEastAsia"/>
                <w:sz w:val="20"/>
                <w:szCs w:val="20"/>
              </w:rPr>
              <w:t>6</w:t>
            </w:r>
          </w:p>
        </w:tc>
        <w:tc>
          <w:tcPr>
            <w:tcW w:w="447"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20</w:t>
            </w:r>
            <w:r>
              <w:rPr>
                <w:rFonts w:hint="eastAsia" w:asciiTheme="majorEastAsia" w:hAnsiTheme="majorEastAsia" w:eastAsiaTheme="majorEastAsia"/>
                <w:sz w:val="20"/>
                <w:szCs w:val="20"/>
              </w:rPr>
              <w:t>17</w:t>
            </w:r>
          </w:p>
        </w:tc>
        <w:tc>
          <w:tcPr>
            <w:tcW w:w="784"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302" w:type="pct"/>
            <w:vMerge w:val="continue"/>
            <w:vAlign w:val="center"/>
          </w:tcPr>
          <w:p>
            <w:pPr>
              <w:widowControl/>
              <w:spacing w:line="240" w:lineRule="auto"/>
              <w:jc w:val="center"/>
              <w:textAlignment w:val="center"/>
              <w:rPr>
                <w:rFonts w:asciiTheme="majorEastAsia" w:hAnsiTheme="majorEastAsia" w:eastAsiaTheme="majorEastAsia"/>
                <w:sz w:val="20"/>
                <w:szCs w:val="20"/>
              </w:rPr>
            </w:pPr>
          </w:p>
        </w:tc>
        <w:tc>
          <w:tcPr>
            <w:tcW w:w="302" w:type="pct"/>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4</w:t>
            </w:r>
          </w:p>
        </w:tc>
        <w:tc>
          <w:tcPr>
            <w:tcW w:w="1845" w:type="pct"/>
            <w:shd w:val="clear" w:color="000000" w:fill="FFFFFF"/>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S216钟山大垭口至大连路</w:t>
            </w:r>
          </w:p>
        </w:tc>
        <w:tc>
          <w:tcPr>
            <w:tcW w:w="443" w:type="pct"/>
            <w:vAlign w:val="center"/>
          </w:tcPr>
          <w:p>
            <w:pPr>
              <w:widowControl/>
              <w:spacing w:line="240" w:lineRule="auto"/>
              <w:jc w:val="center"/>
              <w:textAlignment w:val="center"/>
              <w:rPr>
                <w:rFonts w:asciiTheme="majorEastAsia" w:hAnsiTheme="majorEastAsia" w:eastAsiaTheme="majorEastAsia"/>
                <w:sz w:val="20"/>
                <w:szCs w:val="20"/>
              </w:rPr>
            </w:pPr>
          </w:p>
        </w:tc>
        <w:tc>
          <w:tcPr>
            <w:tcW w:w="504" w:type="pct"/>
            <w:shd w:val="clear" w:color="000000" w:fill="FFFFFF"/>
            <w:vAlign w:val="center"/>
          </w:tcPr>
          <w:p>
            <w:pPr>
              <w:spacing w:line="240" w:lineRule="auto"/>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10</w:t>
            </w:r>
          </w:p>
        </w:tc>
        <w:tc>
          <w:tcPr>
            <w:tcW w:w="374" w:type="pct"/>
            <w:shd w:val="clear" w:color="auto" w:fill="auto"/>
            <w:vAlign w:val="center"/>
          </w:tcPr>
          <w:p>
            <w:pPr>
              <w:spacing w:line="240" w:lineRule="auto"/>
              <w:jc w:val="center"/>
              <w:rPr>
                <w:rFonts w:asciiTheme="majorEastAsia" w:hAnsiTheme="majorEastAsia" w:eastAsiaTheme="majorEastAsia"/>
                <w:sz w:val="20"/>
                <w:szCs w:val="20"/>
              </w:rPr>
            </w:pPr>
            <w:r>
              <w:rPr>
                <w:rFonts w:asciiTheme="majorEastAsia" w:hAnsiTheme="majorEastAsia" w:eastAsiaTheme="majorEastAsia"/>
                <w:sz w:val="20"/>
                <w:szCs w:val="20"/>
              </w:rPr>
              <w:t>201</w:t>
            </w:r>
            <w:r>
              <w:rPr>
                <w:rFonts w:hint="eastAsia" w:asciiTheme="majorEastAsia" w:hAnsiTheme="majorEastAsia" w:eastAsiaTheme="majorEastAsia"/>
                <w:sz w:val="20"/>
                <w:szCs w:val="20"/>
              </w:rPr>
              <w:t>6</w:t>
            </w:r>
          </w:p>
        </w:tc>
        <w:tc>
          <w:tcPr>
            <w:tcW w:w="447"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20</w:t>
            </w:r>
            <w:r>
              <w:rPr>
                <w:rFonts w:hint="eastAsia" w:asciiTheme="majorEastAsia" w:hAnsiTheme="majorEastAsia" w:eastAsiaTheme="majorEastAsia"/>
                <w:sz w:val="20"/>
                <w:szCs w:val="20"/>
              </w:rPr>
              <w:t>18</w:t>
            </w:r>
          </w:p>
        </w:tc>
        <w:tc>
          <w:tcPr>
            <w:tcW w:w="784"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302" w:type="pct"/>
            <w:vMerge w:val="continue"/>
            <w:vAlign w:val="center"/>
          </w:tcPr>
          <w:p>
            <w:pPr>
              <w:widowControl/>
              <w:spacing w:line="240" w:lineRule="auto"/>
              <w:jc w:val="center"/>
              <w:textAlignment w:val="center"/>
              <w:rPr>
                <w:rFonts w:asciiTheme="majorEastAsia" w:hAnsiTheme="majorEastAsia" w:eastAsiaTheme="majorEastAsia"/>
                <w:sz w:val="20"/>
                <w:szCs w:val="20"/>
              </w:rPr>
            </w:pPr>
          </w:p>
        </w:tc>
        <w:tc>
          <w:tcPr>
            <w:tcW w:w="302" w:type="pct"/>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5</w:t>
            </w:r>
          </w:p>
        </w:tc>
        <w:tc>
          <w:tcPr>
            <w:tcW w:w="1845" w:type="pct"/>
            <w:shd w:val="clear" w:color="000000" w:fill="FFFFFF"/>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S217盘州保基至羊场公路</w:t>
            </w:r>
          </w:p>
        </w:tc>
        <w:tc>
          <w:tcPr>
            <w:tcW w:w="443" w:type="pct"/>
            <w:vAlign w:val="center"/>
          </w:tcPr>
          <w:p>
            <w:pPr>
              <w:widowControl/>
              <w:spacing w:line="240" w:lineRule="auto"/>
              <w:jc w:val="center"/>
              <w:textAlignment w:val="center"/>
              <w:rPr>
                <w:rFonts w:asciiTheme="majorEastAsia" w:hAnsiTheme="majorEastAsia" w:eastAsiaTheme="majorEastAsia"/>
                <w:sz w:val="20"/>
                <w:szCs w:val="20"/>
              </w:rPr>
            </w:pPr>
          </w:p>
        </w:tc>
        <w:tc>
          <w:tcPr>
            <w:tcW w:w="504" w:type="pct"/>
            <w:shd w:val="clear" w:color="000000" w:fill="FFFFFF"/>
            <w:vAlign w:val="center"/>
          </w:tcPr>
          <w:p>
            <w:pPr>
              <w:spacing w:line="240" w:lineRule="auto"/>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11</w:t>
            </w:r>
          </w:p>
        </w:tc>
        <w:tc>
          <w:tcPr>
            <w:tcW w:w="374" w:type="pct"/>
            <w:shd w:val="clear" w:color="auto" w:fill="auto"/>
            <w:vAlign w:val="center"/>
          </w:tcPr>
          <w:p>
            <w:pPr>
              <w:spacing w:line="240" w:lineRule="auto"/>
              <w:jc w:val="center"/>
              <w:rPr>
                <w:rFonts w:asciiTheme="majorEastAsia" w:hAnsiTheme="majorEastAsia" w:eastAsiaTheme="majorEastAsia"/>
                <w:sz w:val="20"/>
                <w:szCs w:val="20"/>
              </w:rPr>
            </w:pPr>
            <w:r>
              <w:rPr>
                <w:rFonts w:asciiTheme="majorEastAsia" w:hAnsiTheme="majorEastAsia" w:eastAsiaTheme="majorEastAsia"/>
                <w:sz w:val="20"/>
                <w:szCs w:val="20"/>
              </w:rPr>
              <w:t>201</w:t>
            </w:r>
            <w:r>
              <w:rPr>
                <w:rFonts w:hint="eastAsia" w:asciiTheme="majorEastAsia" w:hAnsiTheme="majorEastAsia" w:eastAsiaTheme="majorEastAsia"/>
                <w:sz w:val="20"/>
                <w:szCs w:val="20"/>
              </w:rPr>
              <w:t>8</w:t>
            </w:r>
          </w:p>
        </w:tc>
        <w:tc>
          <w:tcPr>
            <w:tcW w:w="447"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2019</w:t>
            </w:r>
          </w:p>
        </w:tc>
        <w:tc>
          <w:tcPr>
            <w:tcW w:w="784"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302" w:type="pct"/>
            <w:vMerge w:val="restart"/>
            <w:vAlign w:val="center"/>
          </w:tcPr>
          <w:p>
            <w:pPr>
              <w:widowControl/>
              <w:spacing w:line="240" w:lineRule="auto"/>
              <w:jc w:val="center"/>
              <w:textAlignment w:val="center"/>
              <w:rPr>
                <w:rFonts w:asciiTheme="majorEastAsia" w:hAnsiTheme="majorEastAsia" w:eastAsiaTheme="majorEastAsia"/>
                <w:sz w:val="20"/>
                <w:szCs w:val="20"/>
              </w:rPr>
            </w:pPr>
          </w:p>
          <w:p>
            <w:pPr>
              <w:widowControl/>
              <w:spacing w:line="240" w:lineRule="auto"/>
              <w:jc w:val="center"/>
              <w:textAlignment w:val="center"/>
              <w:rPr>
                <w:rFonts w:asciiTheme="majorEastAsia" w:hAnsiTheme="majorEastAsia" w:eastAsiaTheme="majorEastAsia"/>
                <w:sz w:val="20"/>
                <w:szCs w:val="20"/>
              </w:rPr>
            </w:pPr>
          </w:p>
          <w:p>
            <w:pPr>
              <w:widowControl/>
              <w:spacing w:line="240" w:lineRule="auto"/>
              <w:jc w:val="center"/>
              <w:textAlignment w:val="center"/>
              <w:rPr>
                <w:rFonts w:asciiTheme="majorEastAsia" w:hAnsiTheme="majorEastAsia" w:eastAsiaTheme="majorEastAsia"/>
                <w:sz w:val="20"/>
                <w:szCs w:val="20"/>
              </w:rPr>
            </w:pPr>
          </w:p>
          <w:p>
            <w:pPr>
              <w:widowControl/>
              <w:spacing w:line="240" w:lineRule="auto"/>
              <w:jc w:val="center"/>
              <w:textAlignment w:val="center"/>
              <w:rPr>
                <w:rFonts w:asciiTheme="majorEastAsia" w:hAnsiTheme="majorEastAsia" w:eastAsiaTheme="majorEastAsia"/>
                <w:sz w:val="20"/>
                <w:szCs w:val="20"/>
              </w:rPr>
            </w:pPr>
          </w:p>
          <w:p>
            <w:pPr>
              <w:widowControl/>
              <w:spacing w:line="240" w:lineRule="auto"/>
              <w:jc w:val="center"/>
              <w:textAlignment w:val="center"/>
              <w:rPr>
                <w:rFonts w:asciiTheme="majorEastAsia" w:hAnsiTheme="majorEastAsia" w:eastAsiaTheme="majorEastAsia"/>
                <w:sz w:val="20"/>
                <w:szCs w:val="20"/>
              </w:rPr>
            </w:pPr>
          </w:p>
          <w:p>
            <w:pPr>
              <w:widowControl/>
              <w:spacing w:line="240" w:lineRule="auto"/>
              <w:jc w:val="center"/>
              <w:textAlignment w:val="center"/>
              <w:rPr>
                <w:rFonts w:asciiTheme="majorEastAsia" w:hAnsiTheme="majorEastAsia" w:eastAsiaTheme="majorEastAsia"/>
                <w:b/>
                <w:sz w:val="20"/>
                <w:szCs w:val="20"/>
              </w:rPr>
            </w:pPr>
          </w:p>
          <w:p>
            <w:pPr>
              <w:widowControl/>
              <w:spacing w:line="240" w:lineRule="auto"/>
              <w:jc w:val="center"/>
              <w:textAlignment w:val="center"/>
              <w:rPr>
                <w:rFonts w:asciiTheme="majorEastAsia" w:hAnsiTheme="majorEastAsia" w:eastAsiaTheme="majorEastAsia"/>
                <w:b/>
                <w:sz w:val="20"/>
                <w:szCs w:val="20"/>
              </w:rPr>
            </w:pPr>
            <w:r>
              <w:rPr>
                <w:rFonts w:hint="eastAsia" w:asciiTheme="majorEastAsia" w:hAnsiTheme="majorEastAsia" w:eastAsiaTheme="majorEastAsia"/>
                <w:b/>
                <w:sz w:val="20"/>
                <w:szCs w:val="20"/>
              </w:rPr>
              <w:t>在建项目</w:t>
            </w:r>
          </w:p>
          <w:p>
            <w:pPr>
              <w:widowControl/>
              <w:spacing w:line="240" w:lineRule="auto"/>
              <w:jc w:val="center"/>
              <w:textAlignment w:val="center"/>
              <w:rPr>
                <w:rFonts w:asciiTheme="majorEastAsia" w:hAnsiTheme="majorEastAsia" w:eastAsiaTheme="majorEastAsia"/>
                <w:sz w:val="20"/>
                <w:szCs w:val="20"/>
              </w:rPr>
            </w:pPr>
          </w:p>
          <w:p>
            <w:pPr>
              <w:widowControl/>
              <w:spacing w:line="240" w:lineRule="auto"/>
              <w:jc w:val="center"/>
              <w:textAlignment w:val="center"/>
              <w:rPr>
                <w:rFonts w:asciiTheme="majorEastAsia" w:hAnsiTheme="majorEastAsia" w:eastAsiaTheme="majorEastAsia"/>
                <w:sz w:val="20"/>
                <w:szCs w:val="20"/>
              </w:rPr>
            </w:pPr>
          </w:p>
          <w:p>
            <w:pPr>
              <w:widowControl/>
              <w:spacing w:line="240" w:lineRule="auto"/>
              <w:jc w:val="center"/>
              <w:textAlignment w:val="center"/>
              <w:rPr>
                <w:rFonts w:asciiTheme="majorEastAsia" w:hAnsiTheme="majorEastAsia" w:eastAsiaTheme="majorEastAsia"/>
                <w:sz w:val="20"/>
                <w:szCs w:val="20"/>
              </w:rPr>
            </w:pPr>
          </w:p>
          <w:p>
            <w:pPr>
              <w:widowControl/>
              <w:spacing w:line="240" w:lineRule="auto"/>
              <w:jc w:val="center"/>
              <w:textAlignment w:val="center"/>
              <w:rPr>
                <w:rFonts w:asciiTheme="majorEastAsia" w:hAnsiTheme="majorEastAsia" w:eastAsiaTheme="majorEastAsia"/>
                <w:sz w:val="20"/>
                <w:szCs w:val="20"/>
              </w:rPr>
            </w:pPr>
          </w:p>
          <w:p>
            <w:pPr>
              <w:widowControl/>
              <w:spacing w:line="240" w:lineRule="auto"/>
              <w:jc w:val="center"/>
              <w:textAlignment w:val="center"/>
              <w:rPr>
                <w:rFonts w:asciiTheme="majorEastAsia" w:hAnsiTheme="majorEastAsia" w:eastAsiaTheme="majorEastAsia"/>
                <w:sz w:val="20"/>
                <w:szCs w:val="20"/>
              </w:rPr>
            </w:pPr>
          </w:p>
        </w:tc>
        <w:tc>
          <w:tcPr>
            <w:tcW w:w="302" w:type="pct"/>
            <w:vAlign w:val="center"/>
          </w:tcPr>
          <w:p>
            <w:pPr>
              <w:widowControl/>
              <w:spacing w:line="240" w:lineRule="auto"/>
              <w:jc w:val="center"/>
              <w:textAlignment w:val="center"/>
              <w:rPr>
                <w:rFonts w:asciiTheme="majorEastAsia" w:hAnsiTheme="majorEastAsia" w:eastAsiaTheme="majorEastAsia"/>
                <w:sz w:val="20"/>
                <w:szCs w:val="20"/>
              </w:rPr>
            </w:pPr>
          </w:p>
        </w:tc>
        <w:tc>
          <w:tcPr>
            <w:tcW w:w="1845" w:type="pct"/>
            <w:shd w:val="clear" w:color="000000" w:fill="FFFFFF"/>
            <w:vAlign w:val="center"/>
          </w:tcPr>
          <w:p>
            <w:pPr>
              <w:widowControl/>
              <w:spacing w:line="240" w:lineRule="auto"/>
              <w:jc w:val="center"/>
              <w:textAlignment w:val="center"/>
              <w:rPr>
                <w:rFonts w:asciiTheme="majorEastAsia" w:hAnsiTheme="majorEastAsia" w:eastAsiaTheme="majorEastAsia"/>
                <w:b/>
                <w:bCs/>
                <w:sz w:val="20"/>
                <w:szCs w:val="20"/>
              </w:rPr>
            </w:pPr>
            <w:r>
              <w:rPr>
                <w:rFonts w:asciiTheme="majorEastAsia" w:hAnsiTheme="majorEastAsia" w:eastAsiaTheme="majorEastAsia"/>
                <w:b/>
                <w:bCs/>
                <w:sz w:val="20"/>
                <w:szCs w:val="20"/>
              </w:rPr>
              <w:t>国道项目</w:t>
            </w:r>
          </w:p>
        </w:tc>
        <w:tc>
          <w:tcPr>
            <w:tcW w:w="443" w:type="pct"/>
            <w:vAlign w:val="center"/>
          </w:tcPr>
          <w:p>
            <w:pPr>
              <w:widowControl/>
              <w:spacing w:line="240" w:lineRule="auto"/>
              <w:jc w:val="center"/>
              <w:textAlignment w:val="center"/>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26</w:t>
            </w:r>
          </w:p>
        </w:tc>
        <w:tc>
          <w:tcPr>
            <w:tcW w:w="504" w:type="pct"/>
            <w:shd w:val="clear" w:color="000000" w:fill="FFFFFF"/>
            <w:vAlign w:val="center"/>
          </w:tcPr>
          <w:p>
            <w:pPr>
              <w:spacing w:line="240" w:lineRule="auto"/>
              <w:jc w:val="center"/>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112</w:t>
            </w:r>
          </w:p>
        </w:tc>
        <w:tc>
          <w:tcPr>
            <w:tcW w:w="374" w:type="pct"/>
            <w:shd w:val="clear" w:color="auto" w:fill="auto"/>
            <w:vAlign w:val="center"/>
          </w:tcPr>
          <w:p>
            <w:pPr>
              <w:spacing w:line="240" w:lineRule="auto"/>
              <w:jc w:val="center"/>
              <w:rPr>
                <w:rFonts w:asciiTheme="majorEastAsia" w:hAnsiTheme="majorEastAsia" w:eastAsiaTheme="majorEastAsia"/>
                <w:b/>
                <w:bCs/>
                <w:sz w:val="20"/>
                <w:szCs w:val="20"/>
              </w:rPr>
            </w:pPr>
          </w:p>
        </w:tc>
        <w:tc>
          <w:tcPr>
            <w:tcW w:w="447" w:type="pct"/>
            <w:shd w:val="clear" w:color="auto" w:fill="auto"/>
            <w:vAlign w:val="center"/>
          </w:tcPr>
          <w:p>
            <w:pPr>
              <w:widowControl/>
              <w:spacing w:line="240" w:lineRule="auto"/>
              <w:jc w:val="center"/>
              <w:textAlignment w:val="center"/>
              <w:rPr>
                <w:rFonts w:asciiTheme="majorEastAsia" w:hAnsiTheme="majorEastAsia" w:eastAsiaTheme="majorEastAsia"/>
                <w:b/>
                <w:bCs/>
                <w:sz w:val="20"/>
                <w:szCs w:val="20"/>
              </w:rPr>
            </w:pPr>
          </w:p>
        </w:tc>
        <w:tc>
          <w:tcPr>
            <w:tcW w:w="784" w:type="pct"/>
            <w:shd w:val="clear" w:color="auto" w:fill="auto"/>
            <w:vAlign w:val="center"/>
          </w:tcPr>
          <w:p>
            <w:pPr>
              <w:widowControl/>
              <w:spacing w:line="240" w:lineRule="auto"/>
              <w:jc w:val="center"/>
              <w:textAlignment w:val="center"/>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302" w:type="pct"/>
            <w:vMerge w:val="continue"/>
            <w:vAlign w:val="center"/>
          </w:tcPr>
          <w:p>
            <w:pPr>
              <w:widowControl/>
              <w:spacing w:line="240" w:lineRule="auto"/>
              <w:jc w:val="center"/>
              <w:textAlignment w:val="center"/>
              <w:rPr>
                <w:rFonts w:asciiTheme="majorEastAsia" w:hAnsiTheme="majorEastAsia" w:eastAsiaTheme="majorEastAsia"/>
                <w:sz w:val="20"/>
                <w:szCs w:val="20"/>
              </w:rPr>
            </w:pPr>
          </w:p>
        </w:tc>
        <w:tc>
          <w:tcPr>
            <w:tcW w:w="302" w:type="pct"/>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1845" w:type="pct"/>
            <w:shd w:val="clear" w:color="000000" w:fill="FFFFFF"/>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G246盘州普古垭口至淤泥公路</w:t>
            </w:r>
          </w:p>
        </w:tc>
        <w:tc>
          <w:tcPr>
            <w:tcW w:w="443" w:type="pct"/>
            <w:vAlign w:val="center"/>
          </w:tcPr>
          <w:p>
            <w:pPr>
              <w:widowControl/>
              <w:spacing w:line="240" w:lineRule="auto"/>
              <w:jc w:val="center"/>
              <w:textAlignment w:val="center"/>
              <w:rPr>
                <w:rFonts w:asciiTheme="majorEastAsia" w:hAnsiTheme="majorEastAsia" w:eastAsiaTheme="majorEastAsia"/>
                <w:sz w:val="20"/>
                <w:szCs w:val="20"/>
              </w:rPr>
            </w:pPr>
          </w:p>
        </w:tc>
        <w:tc>
          <w:tcPr>
            <w:tcW w:w="504" w:type="pct"/>
            <w:shd w:val="clear" w:color="000000" w:fill="FFFFFF"/>
            <w:vAlign w:val="center"/>
          </w:tcPr>
          <w:p>
            <w:pPr>
              <w:spacing w:line="240" w:lineRule="auto"/>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25</w:t>
            </w:r>
          </w:p>
        </w:tc>
        <w:tc>
          <w:tcPr>
            <w:tcW w:w="374" w:type="pct"/>
            <w:shd w:val="clear" w:color="000000" w:fill="FFFFFF"/>
            <w:vAlign w:val="center"/>
          </w:tcPr>
          <w:p>
            <w:pPr>
              <w:spacing w:line="240" w:lineRule="auto"/>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2018</w:t>
            </w:r>
          </w:p>
        </w:tc>
        <w:tc>
          <w:tcPr>
            <w:tcW w:w="447" w:type="pct"/>
            <w:shd w:val="clear" w:color="000000" w:fill="FFFFFF"/>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2021</w:t>
            </w:r>
          </w:p>
        </w:tc>
        <w:tc>
          <w:tcPr>
            <w:tcW w:w="784" w:type="pct"/>
            <w:shd w:val="clear" w:color="000000" w:fill="FFFFFF"/>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302" w:type="pct"/>
            <w:vMerge w:val="continue"/>
            <w:vAlign w:val="center"/>
          </w:tcPr>
          <w:p>
            <w:pPr>
              <w:widowControl/>
              <w:spacing w:line="240" w:lineRule="auto"/>
              <w:jc w:val="center"/>
              <w:textAlignment w:val="center"/>
              <w:rPr>
                <w:rFonts w:asciiTheme="majorEastAsia" w:hAnsiTheme="majorEastAsia" w:eastAsiaTheme="majorEastAsia"/>
                <w:sz w:val="20"/>
                <w:szCs w:val="20"/>
              </w:rPr>
            </w:pPr>
          </w:p>
        </w:tc>
        <w:tc>
          <w:tcPr>
            <w:tcW w:w="302" w:type="pct"/>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2</w:t>
            </w:r>
          </w:p>
        </w:tc>
        <w:tc>
          <w:tcPr>
            <w:tcW w:w="1845"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G246盘州鸡场坪至刘官公路</w:t>
            </w:r>
          </w:p>
        </w:tc>
        <w:tc>
          <w:tcPr>
            <w:tcW w:w="443" w:type="pct"/>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17</w:t>
            </w:r>
          </w:p>
        </w:tc>
        <w:tc>
          <w:tcPr>
            <w:tcW w:w="504" w:type="pct"/>
            <w:shd w:val="clear" w:color="auto" w:fill="auto"/>
            <w:vAlign w:val="center"/>
          </w:tcPr>
          <w:p>
            <w:pPr>
              <w:spacing w:line="240" w:lineRule="auto"/>
              <w:jc w:val="center"/>
              <w:rPr>
                <w:rFonts w:asciiTheme="majorEastAsia" w:hAnsiTheme="majorEastAsia" w:eastAsiaTheme="majorEastAsia"/>
                <w:sz w:val="20"/>
                <w:szCs w:val="20"/>
              </w:rPr>
            </w:pPr>
          </w:p>
        </w:tc>
        <w:tc>
          <w:tcPr>
            <w:tcW w:w="374" w:type="pct"/>
            <w:shd w:val="clear" w:color="auto" w:fill="auto"/>
            <w:vAlign w:val="center"/>
          </w:tcPr>
          <w:p>
            <w:pPr>
              <w:spacing w:line="240" w:lineRule="auto"/>
              <w:jc w:val="center"/>
              <w:rPr>
                <w:rFonts w:asciiTheme="majorEastAsia" w:hAnsiTheme="majorEastAsia" w:eastAsiaTheme="majorEastAsia"/>
                <w:sz w:val="20"/>
                <w:szCs w:val="20"/>
              </w:rPr>
            </w:pPr>
            <w:r>
              <w:rPr>
                <w:rFonts w:asciiTheme="majorEastAsia" w:hAnsiTheme="majorEastAsia" w:eastAsiaTheme="majorEastAsia"/>
                <w:sz w:val="20"/>
                <w:szCs w:val="20"/>
              </w:rPr>
              <w:t>20</w:t>
            </w:r>
            <w:r>
              <w:rPr>
                <w:rFonts w:hint="eastAsia" w:asciiTheme="majorEastAsia" w:hAnsiTheme="majorEastAsia" w:eastAsiaTheme="majorEastAsia"/>
                <w:sz w:val="20"/>
                <w:szCs w:val="20"/>
              </w:rPr>
              <w:t>20</w:t>
            </w:r>
          </w:p>
        </w:tc>
        <w:tc>
          <w:tcPr>
            <w:tcW w:w="447"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20</w:t>
            </w:r>
            <w:r>
              <w:rPr>
                <w:rFonts w:hint="eastAsia" w:asciiTheme="majorEastAsia" w:hAnsiTheme="majorEastAsia" w:eastAsiaTheme="majorEastAsia"/>
                <w:sz w:val="20"/>
                <w:szCs w:val="20"/>
              </w:rPr>
              <w:t>22</w:t>
            </w:r>
          </w:p>
        </w:tc>
        <w:tc>
          <w:tcPr>
            <w:tcW w:w="784"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302" w:type="pct"/>
            <w:vMerge w:val="continue"/>
            <w:vAlign w:val="center"/>
          </w:tcPr>
          <w:p>
            <w:pPr>
              <w:widowControl/>
              <w:spacing w:line="240" w:lineRule="auto"/>
              <w:jc w:val="center"/>
              <w:textAlignment w:val="center"/>
              <w:rPr>
                <w:rFonts w:asciiTheme="majorEastAsia" w:hAnsiTheme="majorEastAsia" w:eastAsiaTheme="majorEastAsia"/>
                <w:sz w:val="20"/>
                <w:szCs w:val="20"/>
              </w:rPr>
            </w:pPr>
          </w:p>
        </w:tc>
        <w:tc>
          <w:tcPr>
            <w:tcW w:w="302" w:type="pct"/>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3</w:t>
            </w:r>
          </w:p>
        </w:tc>
        <w:tc>
          <w:tcPr>
            <w:tcW w:w="1845"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G356水城花泥坝至纸厂公路</w:t>
            </w:r>
          </w:p>
        </w:tc>
        <w:tc>
          <w:tcPr>
            <w:tcW w:w="443" w:type="pct"/>
            <w:vAlign w:val="center"/>
          </w:tcPr>
          <w:p>
            <w:pPr>
              <w:widowControl/>
              <w:spacing w:line="240" w:lineRule="auto"/>
              <w:jc w:val="center"/>
              <w:textAlignment w:val="center"/>
              <w:rPr>
                <w:rFonts w:asciiTheme="majorEastAsia" w:hAnsiTheme="majorEastAsia" w:eastAsiaTheme="majorEastAsia"/>
                <w:sz w:val="20"/>
                <w:szCs w:val="20"/>
              </w:rPr>
            </w:pPr>
          </w:p>
        </w:tc>
        <w:tc>
          <w:tcPr>
            <w:tcW w:w="504" w:type="pct"/>
            <w:shd w:val="clear" w:color="auto" w:fill="auto"/>
            <w:vAlign w:val="center"/>
          </w:tcPr>
          <w:p>
            <w:pPr>
              <w:spacing w:line="240" w:lineRule="auto"/>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37</w:t>
            </w:r>
          </w:p>
        </w:tc>
        <w:tc>
          <w:tcPr>
            <w:tcW w:w="374" w:type="pct"/>
            <w:shd w:val="clear" w:color="auto" w:fill="auto"/>
            <w:vAlign w:val="center"/>
          </w:tcPr>
          <w:p>
            <w:pPr>
              <w:spacing w:line="240" w:lineRule="auto"/>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2019</w:t>
            </w:r>
          </w:p>
        </w:tc>
        <w:tc>
          <w:tcPr>
            <w:tcW w:w="447"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2022</w:t>
            </w:r>
          </w:p>
        </w:tc>
        <w:tc>
          <w:tcPr>
            <w:tcW w:w="784"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302" w:type="pct"/>
            <w:vMerge w:val="continue"/>
            <w:vAlign w:val="center"/>
          </w:tcPr>
          <w:p>
            <w:pPr>
              <w:widowControl/>
              <w:spacing w:line="240" w:lineRule="auto"/>
              <w:jc w:val="center"/>
              <w:textAlignment w:val="center"/>
              <w:rPr>
                <w:rFonts w:asciiTheme="majorEastAsia" w:hAnsiTheme="majorEastAsia" w:eastAsiaTheme="majorEastAsia"/>
                <w:sz w:val="20"/>
                <w:szCs w:val="20"/>
              </w:rPr>
            </w:pPr>
          </w:p>
        </w:tc>
        <w:tc>
          <w:tcPr>
            <w:tcW w:w="302" w:type="pct"/>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4</w:t>
            </w:r>
          </w:p>
        </w:tc>
        <w:tc>
          <w:tcPr>
            <w:tcW w:w="1845"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G356六枝落别至大用公路</w:t>
            </w:r>
          </w:p>
        </w:tc>
        <w:tc>
          <w:tcPr>
            <w:tcW w:w="443" w:type="pct"/>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9</w:t>
            </w:r>
          </w:p>
        </w:tc>
        <w:tc>
          <w:tcPr>
            <w:tcW w:w="504" w:type="pct"/>
            <w:shd w:val="clear" w:color="auto" w:fill="auto"/>
            <w:vAlign w:val="center"/>
          </w:tcPr>
          <w:p>
            <w:pPr>
              <w:spacing w:line="240" w:lineRule="auto"/>
              <w:jc w:val="center"/>
              <w:rPr>
                <w:rFonts w:asciiTheme="majorEastAsia" w:hAnsiTheme="majorEastAsia" w:eastAsiaTheme="majorEastAsia"/>
                <w:sz w:val="20"/>
                <w:szCs w:val="20"/>
              </w:rPr>
            </w:pPr>
          </w:p>
        </w:tc>
        <w:tc>
          <w:tcPr>
            <w:tcW w:w="374" w:type="pct"/>
            <w:shd w:val="clear" w:color="auto" w:fill="auto"/>
            <w:vAlign w:val="center"/>
          </w:tcPr>
          <w:p>
            <w:pPr>
              <w:spacing w:line="240" w:lineRule="auto"/>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2019</w:t>
            </w:r>
          </w:p>
        </w:tc>
        <w:tc>
          <w:tcPr>
            <w:tcW w:w="447"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2021</w:t>
            </w:r>
          </w:p>
        </w:tc>
        <w:tc>
          <w:tcPr>
            <w:tcW w:w="784"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302" w:type="pct"/>
            <w:vMerge w:val="continue"/>
            <w:vAlign w:val="center"/>
          </w:tcPr>
          <w:p>
            <w:pPr>
              <w:widowControl/>
              <w:spacing w:line="240" w:lineRule="auto"/>
              <w:jc w:val="center"/>
              <w:textAlignment w:val="center"/>
              <w:rPr>
                <w:rFonts w:asciiTheme="majorEastAsia" w:hAnsiTheme="majorEastAsia" w:eastAsiaTheme="majorEastAsia"/>
                <w:sz w:val="20"/>
                <w:szCs w:val="20"/>
              </w:rPr>
            </w:pPr>
          </w:p>
        </w:tc>
        <w:tc>
          <w:tcPr>
            <w:tcW w:w="302" w:type="pct"/>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5</w:t>
            </w:r>
          </w:p>
        </w:tc>
        <w:tc>
          <w:tcPr>
            <w:tcW w:w="1845"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G246水城姬官营至普古垭口公路</w:t>
            </w:r>
          </w:p>
        </w:tc>
        <w:tc>
          <w:tcPr>
            <w:tcW w:w="443" w:type="pct"/>
            <w:vAlign w:val="center"/>
          </w:tcPr>
          <w:p>
            <w:pPr>
              <w:widowControl/>
              <w:spacing w:line="240" w:lineRule="auto"/>
              <w:jc w:val="center"/>
              <w:textAlignment w:val="center"/>
              <w:rPr>
                <w:rFonts w:asciiTheme="majorEastAsia" w:hAnsiTheme="majorEastAsia" w:eastAsiaTheme="majorEastAsia"/>
                <w:sz w:val="20"/>
                <w:szCs w:val="20"/>
              </w:rPr>
            </w:pPr>
          </w:p>
        </w:tc>
        <w:tc>
          <w:tcPr>
            <w:tcW w:w="504" w:type="pct"/>
            <w:shd w:val="clear" w:color="auto" w:fill="auto"/>
            <w:vAlign w:val="center"/>
          </w:tcPr>
          <w:p>
            <w:pPr>
              <w:spacing w:line="240" w:lineRule="auto"/>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50</w:t>
            </w:r>
          </w:p>
        </w:tc>
        <w:tc>
          <w:tcPr>
            <w:tcW w:w="374" w:type="pct"/>
            <w:shd w:val="clear" w:color="auto" w:fill="auto"/>
            <w:vAlign w:val="center"/>
          </w:tcPr>
          <w:p>
            <w:pPr>
              <w:spacing w:line="240" w:lineRule="auto"/>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2017</w:t>
            </w:r>
          </w:p>
        </w:tc>
        <w:tc>
          <w:tcPr>
            <w:tcW w:w="447"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2021</w:t>
            </w:r>
          </w:p>
        </w:tc>
        <w:tc>
          <w:tcPr>
            <w:tcW w:w="784"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302" w:type="pct"/>
            <w:vMerge w:val="continue"/>
            <w:vAlign w:val="center"/>
          </w:tcPr>
          <w:p>
            <w:pPr>
              <w:widowControl/>
              <w:spacing w:line="240" w:lineRule="auto"/>
              <w:jc w:val="center"/>
              <w:textAlignment w:val="center"/>
              <w:rPr>
                <w:rFonts w:asciiTheme="majorEastAsia" w:hAnsiTheme="majorEastAsia" w:eastAsiaTheme="majorEastAsia"/>
                <w:sz w:val="20"/>
                <w:szCs w:val="20"/>
              </w:rPr>
            </w:pPr>
          </w:p>
        </w:tc>
        <w:tc>
          <w:tcPr>
            <w:tcW w:w="302" w:type="pct"/>
            <w:vAlign w:val="center"/>
          </w:tcPr>
          <w:p>
            <w:pPr>
              <w:widowControl/>
              <w:spacing w:line="240" w:lineRule="auto"/>
              <w:jc w:val="center"/>
              <w:textAlignment w:val="center"/>
              <w:rPr>
                <w:rFonts w:asciiTheme="majorEastAsia" w:hAnsiTheme="majorEastAsia" w:eastAsiaTheme="majorEastAsia"/>
                <w:sz w:val="20"/>
                <w:szCs w:val="20"/>
              </w:rPr>
            </w:pPr>
          </w:p>
        </w:tc>
        <w:tc>
          <w:tcPr>
            <w:tcW w:w="1845" w:type="pct"/>
            <w:shd w:val="clear" w:color="auto" w:fill="auto"/>
            <w:vAlign w:val="center"/>
          </w:tcPr>
          <w:p>
            <w:pPr>
              <w:widowControl/>
              <w:spacing w:line="240" w:lineRule="auto"/>
              <w:jc w:val="center"/>
              <w:textAlignment w:val="center"/>
              <w:rPr>
                <w:rFonts w:asciiTheme="majorEastAsia" w:hAnsiTheme="majorEastAsia" w:eastAsiaTheme="majorEastAsia"/>
                <w:b/>
                <w:bCs/>
                <w:sz w:val="20"/>
                <w:szCs w:val="20"/>
              </w:rPr>
            </w:pPr>
            <w:r>
              <w:rPr>
                <w:rFonts w:asciiTheme="majorEastAsia" w:hAnsiTheme="majorEastAsia" w:eastAsiaTheme="majorEastAsia"/>
                <w:b/>
                <w:bCs/>
                <w:sz w:val="20"/>
                <w:szCs w:val="20"/>
              </w:rPr>
              <w:t>省道项目</w:t>
            </w:r>
          </w:p>
        </w:tc>
        <w:tc>
          <w:tcPr>
            <w:tcW w:w="443" w:type="pct"/>
            <w:vAlign w:val="center"/>
          </w:tcPr>
          <w:p>
            <w:pPr>
              <w:widowControl/>
              <w:spacing w:line="240" w:lineRule="auto"/>
              <w:jc w:val="center"/>
              <w:textAlignment w:val="center"/>
              <w:rPr>
                <w:rFonts w:asciiTheme="majorEastAsia" w:hAnsiTheme="majorEastAsia" w:eastAsiaTheme="majorEastAsia"/>
                <w:b/>
                <w:bCs/>
                <w:sz w:val="20"/>
                <w:szCs w:val="20"/>
              </w:rPr>
            </w:pPr>
          </w:p>
        </w:tc>
        <w:tc>
          <w:tcPr>
            <w:tcW w:w="504" w:type="pct"/>
            <w:shd w:val="clear" w:color="auto" w:fill="auto"/>
            <w:vAlign w:val="center"/>
          </w:tcPr>
          <w:p>
            <w:pPr>
              <w:spacing w:line="240" w:lineRule="auto"/>
              <w:jc w:val="center"/>
              <w:rPr>
                <w:rFonts w:asciiTheme="majorEastAsia" w:hAnsiTheme="majorEastAsia" w:eastAsiaTheme="majorEastAsia"/>
                <w:b/>
                <w:bCs/>
                <w:sz w:val="20"/>
                <w:szCs w:val="20"/>
              </w:rPr>
            </w:pPr>
            <w:r>
              <w:rPr>
                <w:rFonts w:asciiTheme="majorEastAsia" w:hAnsiTheme="majorEastAsia" w:eastAsiaTheme="majorEastAsia"/>
                <w:b/>
                <w:bCs/>
                <w:sz w:val="20"/>
                <w:szCs w:val="20"/>
              </w:rPr>
              <w:t>158.32</w:t>
            </w:r>
          </w:p>
        </w:tc>
        <w:tc>
          <w:tcPr>
            <w:tcW w:w="374" w:type="pct"/>
            <w:shd w:val="clear" w:color="auto" w:fill="auto"/>
            <w:vAlign w:val="center"/>
          </w:tcPr>
          <w:p>
            <w:pPr>
              <w:spacing w:line="240" w:lineRule="auto"/>
              <w:jc w:val="center"/>
              <w:rPr>
                <w:rFonts w:asciiTheme="majorEastAsia" w:hAnsiTheme="majorEastAsia" w:eastAsiaTheme="majorEastAsia"/>
                <w:b/>
                <w:bCs/>
                <w:sz w:val="20"/>
                <w:szCs w:val="20"/>
              </w:rPr>
            </w:pPr>
          </w:p>
        </w:tc>
        <w:tc>
          <w:tcPr>
            <w:tcW w:w="447" w:type="pct"/>
            <w:shd w:val="clear" w:color="auto" w:fill="auto"/>
            <w:vAlign w:val="center"/>
          </w:tcPr>
          <w:p>
            <w:pPr>
              <w:widowControl/>
              <w:spacing w:line="240" w:lineRule="auto"/>
              <w:jc w:val="center"/>
              <w:textAlignment w:val="center"/>
              <w:rPr>
                <w:rFonts w:asciiTheme="majorEastAsia" w:hAnsiTheme="majorEastAsia" w:eastAsiaTheme="majorEastAsia"/>
                <w:b/>
                <w:bCs/>
                <w:sz w:val="20"/>
                <w:szCs w:val="20"/>
              </w:rPr>
            </w:pPr>
          </w:p>
        </w:tc>
        <w:tc>
          <w:tcPr>
            <w:tcW w:w="784" w:type="pct"/>
            <w:shd w:val="clear" w:color="auto" w:fill="auto"/>
            <w:vAlign w:val="center"/>
          </w:tcPr>
          <w:p>
            <w:pPr>
              <w:widowControl/>
              <w:spacing w:line="240" w:lineRule="auto"/>
              <w:jc w:val="center"/>
              <w:textAlignment w:val="center"/>
              <w:rPr>
                <w:rFonts w:asciiTheme="majorEastAsia" w:hAnsiTheme="majorEastAsia" w:eastAsiaTheme="majorEastAsia"/>
                <w:b/>
                <w:bCs/>
                <w:sz w:val="20"/>
                <w:szCs w:val="20"/>
              </w:rPr>
            </w:pPr>
            <w:r>
              <w:rPr>
                <w:rFonts w:asciiTheme="majorEastAsia" w:hAnsiTheme="majorEastAsia" w:eastAsiaTheme="majorEastAsia"/>
                <w:b/>
                <w:bCs/>
                <w:sz w:val="20"/>
                <w:szCs w:val="20"/>
              </w:rPr>
              <w:t>25.17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302" w:type="pct"/>
            <w:vMerge w:val="continue"/>
            <w:vAlign w:val="center"/>
          </w:tcPr>
          <w:p>
            <w:pPr>
              <w:widowControl/>
              <w:spacing w:line="240" w:lineRule="auto"/>
              <w:jc w:val="center"/>
              <w:textAlignment w:val="center"/>
              <w:rPr>
                <w:rFonts w:asciiTheme="majorEastAsia" w:hAnsiTheme="majorEastAsia" w:eastAsiaTheme="majorEastAsia"/>
                <w:sz w:val="20"/>
                <w:szCs w:val="20"/>
              </w:rPr>
            </w:pPr>
          </w:p>
        </w:tc>
        <w:tc>
          <w:tcPr>
            <w:tcW w:w="302" w:type="pct"/>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1845"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S310六枝大草坝至新华公路</w:t>
            </w:r>
          </w:p>
        </w:tc>
        <w:tc>
          <w:tcPr>
            <w:tcW w:w="443" w:type="pct"/>
            <w:vAlign w:val="center"/>
          </w:tcPr>
          <w:p>
            <w:pPr>
              <w:widowControl/>
              <w:spacing w:line="240" w:lineRule="auto"/>
              <w:jc w:val="center"/>
              <w:textAlignment w:val="center"/>
              <w:rPr>
                <w:rFonts w:asciiTheme="majorEastAsia" w:hAnsiTheme="majorEastAsia" w:eastAsiaTheme="majorEastAsia"/>
                <w:sz w:val="20"/>
                <w:szCs w:val="20"/>
              </w:rPr>
            </w:pPr>
          </w:p>
        </w:tc>
        <w:tc>
          <w:tcPr>
            <w:tcW w:w="504" w:type="pct"/>
            <w:shd w:val="clear" w:color="auto" w:fill="auto"/>
            <w:vAlign w:val="center"/>
          </w:tcPr>
          <w:p>
            <w:pPr>
              <w:spacing w:line="240" w:lineRule="auto"/>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7.8</w:t>
            </w:r>
          </w:p>
        </w:tc>
        <w:tc>
          <w:tcPr>
            <w:tcW w:w="374" w:type="pct"/>
            <w:shd w:val="clear" w:color="auto" w:fill="auto"/>
            <w:vAlign w:val="center"/>
          </w:tcPr>
          <w:p>
            <w:pPr>
              <w:spacing w:line="240" w:lineRule="auto"/>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2017</w:t>
            </w:r>
          </w:p>
        </w:tc>
        <w:tc>
          <w:tcPr>
            <w:tcW w:w="447"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2021</w:t>
            </w:r>
          </w:p>
        </w:tc>
        <w:tc>
          <w:tcPr>
            <w:tcW w:w="784"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302" w:type="pct"/>
            <w:vMerge w:val="continue"/>
            <w:vAlign w:val="center"/>
          </w:tcPr>
          <w:p>
            <w:pPr>
              <w:widowControl/>
              <w:spacing w:line="240" w:lineRule="auto"/>
              <w:jc w:val="center"/>
              <w:textAlignment w:val="center"/>
              <w:rPr>
                <w:rFonts w:asciiTheme="majorEastAsia" w:hAnsiTheme="majorEastAsia" w:eastAsiaTheme="majorEastAsia"/>
                <w:sz w:val="20"/>
                <w:szCs w:val="20"/>
              </w:rPr>
            </w:pPr>
          </w:p>
        </w:tc>
        <w:tc>
          <w:tcPr>
            <w:tcW w:w="302" w:type="pct"/>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2</w:t>
            </w:r>
          </w:p>
        </w:tc>
        <w:tc>
          <w:tcPr>
            <w:tcW w:w="1845"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S214六枝梭戛至岩脚公路</w:t>
            </w:r>
          </w:p>
        </w:tc>
        <w:tc>
          <w:tcPr>
            <w:tcW w:w="443" w:type="pct"/>
            <w:vAlign w:val="center"/>
          </w:tcPr>
          <w:p>
            <w:pPr>
              <w:widowControl/>
              <w:spacing w:line="240" w:lineRule="auto"/>
              <w:jc w:val="center"/>
              <w:textAlignment w:val="center"/>
              <w:rPr>
                <w:rFonts w:asciiTheme="majorEastAsia" w:hAnsiTheme="majorEastAsia" w:eastAsiaTheme="majorEastAsia"/>
                <w:sz w:val="20"/>
                <w:szCs w:val="20"/>
              </w:rPr>
            </w:pPr>
          </w:p>
        </w:tc>
        <w:tc>
          <w:tcPr>
            <w:tcW w:w="504" w:type="pct"/>
            <w:shd w:val="clear" w:color="auto" w:fill="auto"/>
            <w:vAlign w:val="center"/>
          </w:tcPr>
          <w:p>
            <w:pPr>
              <w:spacing w:line="240" w:lineRule="auto"/>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17.6</w:t>
            </w:r>
          </w:p>
        </w:tc>
        <w:tc>
          <w:tcPr>
            <w:tcW w:w="374" w:type="pct"/>
            <w:shd w:val="clear" w:color="auto" w:fill="auto"/>
            <w:vAlign w:val="center"/>
          </w:tcPr>
          <w:p>
            <w:pPr>
              <w:spacing w:line="240" w:lineRule="auto"/>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2017</w:t>
            </w:r>
          </w:p>
        </w:tc>
        <w:tc>
          <w:tcPr>
            <w:tcW w:w="447"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2021</w:t>
            </w:r>
          </w:p>
        </w:tc>
        <w:tc>
          <w:tcPr>
            <w:tcW w:w="784"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302" w:type="pct"/>
            <w:vMerge w:val="continue"/>
            <w:vAlign w:val="center"/>
          </w:tcPr>
          <w:p>
            <w:pPr>
              <w:widowControl/>
              <w:spacing w:line="240" w:lineRule="auto"/>
              <w:jc w:val="center"/>
              <w:textAlignment w:val="center"/>
              <w:rPr>
                <w:rFonts w:asciiTheme="majorEastAsia" w:hAnsiTheme="majorEastAsia" w:eastAsiaTheme="majorEastAsia"/>
                <w:sz w:val="20"/>
                <w:szCs w:val="20"/>
              </w:rPr>
            </w:pPr>
          </w:p>
        </w:tc>
        <w:tc>
          <w:tcPr>
            <w:tcW w:w="302" w:type="pct"/>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3</w:t>
            </w:r>
          </w:p>
        </w:tc>
        <w:tc>
          <w:tcPr>
            <w:tcW w:w="1845"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S216水城野钟至河洋大桥公路</w:t>
            </w:r>
          </w:p>
        </w:tc>
        <w:tc>
          <w:tcPr>
            <w:tcW w:w="443" w:type="pct"/>
            <w:vAlign w:val="center"/>
          </w:tcPr>
          <w:p>
            <w:pPr>
              <w:widowControl/>
              <w:spacing w:line="240" w:lineRule="auto"/>
              <w:jc w:val="center"/>
              <w:textAlignment w:val="center"/>
              <w:rPr>
                <w:rFonts w:asciiTheme="majorEastAsia" w:hAnsiTheme="majorEastAsia" w:eastAsiaTheme="majorEastAsia"/>
                <w:sz w:val="20"/>
                <w:szCs w:val="20"/>
              </w:rPr>
            </w:pPr>
          </w:p>
        </w:tc>
        <w:tc>
          <w:tcPr>
            <w:tcW w:w="504" w:type="pct"/>
            <w:shd w:val="clear" w:color="auto" w:fill="auto"/>
            <w:vAlign w:val="center"/>
          </w:tcPr>
          <w:p>
            <w:pPr>
              <w:spacing w:line="240" w:lineRule="auto"/>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30</w:t>
            </w:r>
          </w:p>
        </w:tc>
        <w:tc>
          <w:tcPr>
            <w:tcW w:w="374" w:type="pct"/>
            <w:shd w:val="clear" w:color="auto" w:fill="auto"/>
            <w:vAlign w:val="center"/>
          </w:tcPr>
          <w:p>
            <w:pPr>
              <w:spacing w:line="240" w:lineRule="auto"/>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2017</w:t>
            </w:r>
          </w:p>
        </w:tc>
        <w:tc>
          <w:tcPr>
            <w:tcW w:w="447"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2021</w:t>
            </w:r>
          </w:p>
        </w:tc>
        <w:tc>
          <w:tcPr>
            <w:tcW w:w="784"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302" w:type="pct"/>
            <w:vMerge w:val="continue"/>
            <w:vAlign w:val="center"/>
          </w:tcPr>
          <w:p>
            <w:pPr>
              <w:widowControl/>
              <w:spacing w:line="240" w:lineRule="auto"/>
              <w:jc w:val="center"/>
              <w:textAlignment w:val="center"/>
              <w:rPr>
                <w:rFonts w:asciiTheme="majorEastAsia" w:hAnsiTheme="majorEastAsia" w:eastAsiaTheme="majorEastAsia"/>
                <w:sz w:val="20"/>
                <w:szCs w:val="20"/>
              </w:rPr>
            </w:pPr>
          </w:p>
        </w:tc>
        <w:tc>
          <w:tcPr>
            <w:tcW w:w="302" w:type="pct"/>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4</w:t>
            </w:r>
          </w:p>
        </w:tc>
        <w:tc>
          <w:tcPr>
            <w:tcW w:w="1845"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S217水城坪寨至玉舍公路</w:t>
            </w:r>
          </w:p>
        </w:tc>
        <w:tc>
          <w:tcPr>
            <w:tcW w:w="443" w:type="pct"/>
            <w:vAlign w:val="center"/>
          </w:tcPr>
          <w:p>
            <w:pPr>
              <w:widowControl/>
              <w:spacing w:line="240" w:lineRule="auto"/>
              <w:jc w:val="center"/>
              <w:textAlignment w:val="center"/>
              <w:rPr>
                <w:rFonts w:asciiTheme="majorEastAsia" w:hAnsiTheme="majorEastAsia" w:eastAsiaTheme="majorEastAsia"/>
                <w:sz w:val="20"/>
                <w:szCs w:val="20"/>
              </w:rPr>
            </w:pPr>
          </w:p>
        </w:tc>
        <w:tc>
          <w:tcPr>
            <w:tcW w:w="504" w:type="pct"/>
            <w:shd w:val="clear" w:color="auto" w:fill="auto"/>
            <w:vAlign w:val="center"/>
          </w:tcPr>
          <w:p>
            <w:pPr>
              <w:spacing w:line="240" w:lineRule="auto"/>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46</w:t>
            </w:r>
            <w:r>
              <w:rPr>
                <w:rFonts w:asciiTheme="majorEastAsia" w:hAnsiTheme="majorEastAsia" w:eastAsiaTheme="majorEastAsia"/>
                <w:sz w:val="20"/>
                <w:szCs w:val="20"/>
              </w:rPr>
              <w:t>.92</w:t>
            </w:r>
          </w:p>
        </w:tc>
        <w:tc>
          <w:tcPr>
            <w:tcW w:w="374" w:type="pct"/>
            <w:shd w:val="clear" w:color="auto" w:fill="auto"/>
            <w:vAlign w:val="center"/>
          </w:tcPr>
          <w:p>
            <w:pPr>
              <w:spacing w:line="240" w:lineRule="auto"/>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2017</w:t>
            </w:r>
          </w:p>
        </w:tc>
        <w:tc>
          <w:tcPr>
            <w:tcW w:w="447"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2022</w:t>
            </w:r>
          </w:p>
        </w:tc>
        <w:tc>
          <w:tcPr>
            <w:tcW w:w="784"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302" w:type="pct"/>
            <w:vMerge w:val="continue"/>
            <w:vAlign w:val="center"/>
          </w:tcPr>
          <w:p>
            <w:pPr>
              <w:widowControl/>
              <w:spacing w:line="240" w:lineRule="auto"/>
              <w:jc w:val="center"/>
              <w:textAlignment w:val="center"/>
              <w:rPr>
                <w:rFonts w:asciiTheme="majorEastAsia" w:hAnsiTheme="majorEastAsia" w:eastAsiaTheme="majorEastAsia"/>
                <w:sz w:val="20"/>
                <w:szCs w:val="20"/>
              </w:rPr>
            </w:pPr>
          </w:p>
        </w:tc>
        <w:tc>
          <w:tcPr>
            <w:tcW w:w="302" w:type="pct"/>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5</w:t>
            </w:r>
          </w:p>
        </w:tc>
        <w:tc>
          <w:tcPr>
            <w:tcW w:w="1845"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S310水城两路口至立火公路</w:t>
            </w:r>
          </w:p>
        </w:tc>
        <w:tc>
          <w:tcPr>
            <w:tcW w:w="443" w:type="pct"/>
            <w:vAlign w:val="center"/>
          </w:tcPr>
          <w:p>
            <w:pPr>
              <w:widowControl/>
              <w:spacing w:line="240" w:lineRule="auto"/>
              <w:jc w:val="center"/>
              <w:textAlignment w:val="center"/>
              <w:rPr>
                <w:rFonts w:asciiTheme="majorEastAsia" w:hAnsiTheme="majorEastAsia" w:eastAsiaTheme="majorEastAsia"/>
                <w:sz w:val="20"/>
                <w:szCs w:val="20"/>
              </w:rPr>
            </w:pPr>
          </w:p>
        </w:tc>
        <w:tc>
          <w:tcPr>
            <w:tcW w:w="504" w:type="pct"/>
            <w:shd w:val="clear" w:color="auto" w:fill="auto"/>
            <w:vAlign w:val="center"/>
          </w:tcPr>
          <w:p>
            <w:pPr>
              <w:spacing w:line="240" w:lineRule="auto"/>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28</w:t>
            </w:r>
          </w:p>
        </w:tc>
        <w:tc>
          <w:tcPr>
            <w:tcW w:w="374" w:type="pct"/>
            <w:shd w:val="clear" w:color="auto" w:fill="auto"/>
            <w:vAlign w:val="center"/>
          </w:tcPr>
          <w:p>
            <w:pPr>
              <w:spacing w:line="240" w:lineRule="auto"/>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2017</w:t>
            </w:r>
          </w:p>
        </w:tc>
        <w:tc>
          <w:tcPr>
            <w:tcW w:w="447"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2022</w:t>
            </w:r>
          </w:p>
        </w:tc>
        <w:tc>
          <w:tcPr>
            <w:tcW w:w="784"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7.47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302" w:type="pct"/>
            <w:vAlign w:val="center"/>
          </w:tcPr>
          <w:p>
            <w:pPr>
              <w:widowControl/>
              <w:spacing w:line="240" w:lineRule="auto"/>
              <w:jc w:val="center"/>
              <w:textAlignment w:val="center"/>
              <w:rPr>
                <w:rFonts w:asciiTheme="majorEastAsia" w:hAnsiTheme="majorEastAsia" w:eastAsiaTheme="majorEastAsia"/>
                <w:sz w:val="20"/>
                <w:szCs w:val="20"/>
              </w:rPr>
            </w:pPr>
          </w:p>
        </w:tc>
        <w:tc>
          <w:tcPr>
            <w:tcW w:w="302" w:type="pct"/>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6</w:t>
            </w:r>
          </w:p>
        </w:tc>
        <w:tc>
          <w:tcPr>
            <w:tcW w:w="1845"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S</w:t>
            </w:r>
            <w:r>
              <w:rPr>
                <w:rFonts w:asciiTheme="majorEastAsia" w:hAnsiTheme="majorEastAsia" w:eastAsiaTheme="majorEastAsia"/>
                <w:sz w:val="20"/>
                <w:szCs w:val="20"/>
              </w:rPr>
              <w:t>216</w:t>
            </w:r>
            <w:r>
              <w:rPr>
                <w:rFonts w:hint="eastAsia" w:asciiTheme="majorEastAsia" w:hAnsiTheme="majorEastAsia" w:eastAsiaTheme="majorEastAsia"/>
                <w:sz w:val="20"/>
                <w:szCs w:val="20"/>
              </w:rPr>
              <w:t>水城米箩至野钟公路</w:t>
            </w:r>
          </w:p>
        </w:tc>
        <w:tc>
          <w:tcPr>
            <w:tcW w:w="443" w:type="pct"/>
            <w:vAlign w:val="center"/>
          </w:tcPr>
          <w:p>
            <w:pPr>
              <w:widowControl/>
              <w:spacing w:line="240" w:lineRule="auto"/>
              <w:jc w:val="center"/>
              <w:textAlignment w:val="center"/>
              <w:rPr>
                <w:rFonts w:asciiTheme="majorEastAsia" w:hAnsiTheme="majorEastAsia" w:eastAsiaTheme="majorEastAsia"/>
                <w:sz w:val="20"/>
                <w:szCs w:val="20"/>
              </w:rPr>
            </w:pPr>
          </w:p>
        </w:tc>
        <w:tc>
          <w:tcPr>
            <w:tcW w:w="504" w:type="pct"/>
            <w:shd w:val="clear" w:color="auto" w:fill="auto"/>
            <w:vAlign w:val="center"/>
          </w:tcPr>
          <w:p>
            <w:pPr>
              <w:spacing w:line="240" w:lineRule="auto"/>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w:t>
            </w:r>
            <w:r>
              <w:rPr>
                <w:rFonts w:asciiTheme="majorEastAsia" w:hAnsiTheme="majorEastAsia" w:eastAsiaTheme="majorEastAsia"/>
                <w:sz w:val="20"/>
                <w:szCs w:val="20"/>
              </w:rPr>
              <w:t>8</w:t>
            </w:r>
          </w:p>
        </w:tc>
        <w:tc>
          <w:tcPr>
            <w:tcW w:w="374" w:type="pct"/>
            <w:shd w:val="clear" w:color="auto" w:fill="auto"/>
            <w:vAlign w:val="center"/>
          </w:tcPr>
          <w:p>
            <w:pPr>
              <w:spacing w:line="240" w:lineRule="auto"/>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w:t>
            </w:r>
            <w:r>
              <w:rPr>
                <w:rFonts w:asciiTheme="majorEastAsia" w:hAnsiTheme="majorEastAsia" w:eastAsiaTheme="majorEastAsia"/>
                <w:sz w:val="20"/>
                <w:szCs w:val="20"/>
              </w:rPr>
              <w:t>017</w:t>
            </w:r>
          </w:p>
        </w:tc>
        <w:tc>
          <w:tcPr>
            <w:tcW w:w="447"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2</w:t>
            </w:r>
            <w:r>
              <w:rPr>
                <w:rFonts w:asciiTheme="majorEastAsia" w:hAnsiTheme="majorEastAsia" w:eastAsiaTheme="majorEastAsia"/>
                <w:sz w:val="20"/>
                <w:szCs w:val="20"/>
              </w:rPr>
              <w:t>022</w:t>
            </w:r>
          </w:p>
        </w:tc>
        <w:tc>
          <w:tcPr>
            <w:tcW w:w="784"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2</w:t>
            </w:r>
            <w:r>
              <w:rPr>
                <w:rFonts w:asciiTheme="majorEastAsia" w:hAnsiTheme="majorEastAsia" w:eastAsiaTheme="majorEastAsia"/>
                <w:sz w:val="20"/>
                <w:szCs w:val="20"/>
              </w:rPr>
              <w:t>.8</w:t>
            </w:r>
          </w:p>
        </w:tc>
      </w:tr>
    </w:tbl>
    <w:p>
      <w:pPr>
        <w:tabs>
          <w:tab w:val="left" w:pos="8100"/>
        </w:tabs>
        <w:jc w:val="center"/>
        <w:rPr>
          <w:rFonts w:asciiTheme="majorEastAsia" w:hAnsiTheme="majorEastAsia" w:eastAsiaTheme="majorEastAsia"/>
          <w:b/>
          <w:sz w:val="24"/>
        </w:rPr>
      </w:pPr>
      <w:r>
        <w:rPr>
          <w:rFonts w:asciiTheme="majorEastAsia" w:hAnsiTheme="majorEastAsia" w:eastAsiaTheme="majorEastAsia"/>
          <w:b/>
          <w:sz w:val="24"/>
        </w:rPr>
        <w:t>表2-4  “十</w:t>
      </w:r>
      <w:r>
        <w:rPr>
          <w:rFonts w:hint="eastAsia" w:asciiTheme="majorEastAsia" w:hAnsiTheme="majorEastAsia" w:eastAsiaTheme="majorEastAsia"/>
          <w:b/>
          <w:sz w:val="24"/>
        </w:rPr>
        <w:t>三</w:t>
      </w:r>
      <w:r>
        <w:rPr>
          <w:rFonts w:asciiTheme="majorEastAsia" w:hAnsiTheme="majorEastAsia" w:eastAsiaTheme="majorEastAsia"/>
          <w:b/>
          <w:sz w:val="24"/>
        </w:rPr>
        <w:t>五”期间区域干线公路项目建设情况表</w:t>
      </w:r>
    </w:p>
    <w:tbl>
      <w:tblPr>
        <w:tblStyle w:val="19"/>
        <w:tblW w:w="47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463"/>
        <w:gridCol w:w="463"/>
        <w:gridCol w:w="2921"/>
        <w:gridCol w:w="688"/>
        <w:gridCol w:w="873"/>
        <w:gridCol w:w="629"/>
        <w:gridCol w:w="694"/>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blHeader/>
          <w:jc w:val="center"/>
        </w:trPr>
        <w:tc>
          <w:tcPr>
            <w:tcW w:w="291" w:type="pct"/>
            <w:vMerge w:val="restart"/>
          </w:tcPr>
          <w:p>
            <w:pPr>
              <w:widowControl/>
              <w:spacing w:line="240" w:lineRule="auto"/>
              <w:jc w:val="center"/>
              <w:textAlignment w:val="center"/>
              <w:rPr>
                <w:rFonts w:asciiTheme="majorEastAsia" w:hAnsiTheme="majorEastAsia" w:eastAsiaTheme="majorEastAsia"/>
                <w:sz w:val="20"/>
                <w:szCs w:val="20"/>
              </w:rPr>
            </w:pPr>
          </w:p>
        </w:tc>
        <w:tc>
          <w:tcPr>
            <w:tcW w:w="291" w:type="pct"/>
            <w:vMerge w:val="restart"/>
            <w:vAlign w:val="center"/>
          </w:tcPr>
          <w:p>
            <w:pPr>
              <w:widowControl/>
              <w:spacing w:line="240" w:lineRule="auto"/>
              <w:jc w:val="center"/>
              <w:textAlignment w:val="center"/>
              <w:rPr>
                <w:rFonts w:asciiTheme="majorEastAsia" w:hAnsiTheme="majorEastAsia" w:eastAsiaTheme="majorEastAsia"/>
                <w:b/>
                <w:sz w:val="20"/>
                <w:szCs w:val="20"/>
              </w:rPr>
            </w:pPr>
            <w:r>
              <w:rPr>
                <w:rFonts w:asciiTheme="majorEastAsia" w:hAnsiTheme="majorEastAsia" w:eastAsiaTheme="majorEastAsia"/>
                <w:b/>
                <w:sz w:val="20"/>
                <w:szCs w:val="20"/>
              </w:rPr>
              <w:t>序号</w:t>
            </w:r>
          </w:p>
        </w:tc>
        <w:tc>
          <w:tcPr>
            <w:tcW w:w="1834" w:type="pct"/>
            <w:vMerge w:val="restart"/>
            <w:vAlign w:val="center"/>
          </w:tcPr>
          <w:p>
            <w:pPr>
              <w:widowControl/>
              <w:spacing w:line="240" w:lineRule="auto"/>
              <w:jc w:val="center"/>
              <w:textAlignment w:val="center"/>
              <w:rPr>
                <w:rFonts w:asciiTheme="majorEastAsia" w:hAnsiTheme="majorEastAsia" w:eastAsiaTheme="majorEastAsia"/>
                <w:b/>
                <w:sz w:val="20"/>
                <w:szCs w:val="20"/>
              </w:rPr>
            </w:pPr>
            <w:r>
              <w:rPr>
                <w:rFonts w:asciiTheme="majorEastAsia" w:hAnsiTheme="majorEastAsia" w:eastAsiaTheme="majorEastAsia"/>
                <w:b/>
                <w:sz w:val="20"/>
                <w:szCs w:val="20"/>
              </w:rPr>
              <w:t>项目名称</w:t>
            </w:r>
          </w:p>
        </w:tc>
        <w:tc>
          <w:tcPr>
            <w:tcW w:w="980" w:type="pct"/>
            <w:gridSpan w:val="2"/>
            <w:vAlign w:val="center"/>
          </w:tcPr>
          <w:p>
            <w:pPr>
              <w:widowControl/>
              <w:spacing w:line="240" w:lineRule="auto"/>
              <w:textAlignment w:val="center"/>
              <w:rPr>
                <w:rFonts w:asciiTheme="majorEastAsia" w:hAnsiTheme="majorEastAsia" w:eastAsiaTheme="majorEastAsia"/>
                <w:b/>
                <w:sz w:val="20"/>
                <w:szCs w:val="20"/>
              </w:rPr>
            </w:pPr>
            <w:r>
              <w:rPr>
                <w:rFonts w:asciiTheme="majorEastAsia" w:hAnsiTheme="majorEastAsia" w:eastAsiaTheme="majorEastAsia"/>
                <w:b/>
                <w:sz w:val="20"/>
                <w:szCs w:val="20"/>
              </w:rPr>
              <w:t>规模标准(公里)</w:t>
            </w:r>
          </w:p>
        </w:tc>
        <w:tc>
          <w:tcPr>
            <w:tcW w:w="831" w:type="pct"/>
            <w:gridSpan w:val="2"/>
            <w:vMerge w:val="restart"/>
            <w:vAlign w:val="center"/>
          </w:tcPr>
          <w:p>
            <w:pPr>
              <w:widowControl/>
              <w:spacing w:line="240" w:lineRule="auto"/>
              <w:jc w:val="center"/>
              <w:textAlignment w:val="center"/>
              <w:rPr>
                <w:rFonts w:asciiTheme="majorEastAsia" w:hAnsiTheme="majorEastAsia" w:eastAsiaTheme="majorEastAsia"/>
                <w:b/>
                <w:sz w:val="20"/>
                <w:szCs w:val="20"/>
              </w:rPr>
            </w:pPr>
            <w:r>
              <w:rPr>
                <w:rFonts w:asciiTheme="majorEastAsia" w:hAnsiTheme="majorEastAsia" w:eastAsiaTheme="majorEastAsia"/>
                <w:b/>
                <w:sz w:val="20"/>
                <w:szCs w:val="20"/>
              </w:rPr>
              <w:t>建设起止年限</w:t>
            </w:r>
          </w:p>
        </w:tc>
        <w:tc>
          <w:tcPr>
            <w:tcW w:w="773" w:type="pct"/>
            <w:vMerge w:val="restart"/>
            <w:vAlign w:val="center"/>
          </w:tcPr>
          <w:p>
            <w:pPr>
              <w:widowControl/>
              <w:spacing w:line="240" w:lineRule="auto"/>
              <w:jc w:val="center"/>
              <w:textAlignment w:val="center"/>
              <w:rPr>
                <w:rFonts w:asciiTheme="majorEastAsia" w:hAnsiTheme="majorEastAsia" w:eastAsiaTheme="majorEastAsia"/>
                <w:b/>
                <w:sz w:val="20"/>
                <w:szCs w:val="20"/>
              </w:rPr>
            </w:pPr>
            <w:r>
              <w:rPr>
                <w:rFonts w:asciiTheme="majorEastAsia" w:hAnsiTheme="majorEastAsia" w:eastAsiaTheme="majorEastAsia"/>
                <w:b/>
                <w:sz w:val="20"/>
                <w:szCs w:val="20"/>
              </w:rPr>
              <w:t>总投资</w:t>
            </w:r>
          </w:p>
          <w:p>
            <w:pPr>
              <w:widowControl/>
              <w:spacing w:line="240" w:lineRule="auto"/>
              <w:jc w:val="center"/>
              <w:textAlignment w:val="center"/>
              <w:rPr>
                <w:rFonts w:asciiTheme="majorEastAsia" w:hAnsiTheme="majorEastAsia" w:eastAsiaTheme="majorEastAsia"/>
                <w:b/>
                <w:sz w:val="20"/>
                <w:szCs w:val="20"/>
              </w:rPr>
            </w:pPr>
            <w:r>
              <w:rPr>
                <w:rFonts w:asciiTheme="majorEastAsia" w:hAnsiTheme="majorEastAsia" w:eastAsiaTheme="majorEastAsia"/>
                <w:b/>
                <w:sz w:val="20"/>
                <w:szCs w:val="20"/>
              </w:rPr>
              <w:t>(</w:t>
            </w:r>
            <w:r>
              <w:rPr>
                <w:rFonts w:hint="eastAsia" w:asciiTheme="majorEastAsia" w:hAnsiTheme="majorEastAsia" w:eastAsiaTheme="majorEastAsia"/>
                <w:b/>
                <w:sz w:val="20"/>
                <w:szCs w:val="20"/>
              </w:rPr>
              <w:t>亿</w:t>
            </w:r>
            <w:r>
              <w:rPr>
                <w:rFonts w:asciiTheme="majorEastAsia" w:hAnsiTheme="majorEastAsia" w:eastAsiaTheme="majorEastAsia"/>
                <w:b/>
                <w:sz w:val="20"/>
                <w:szCs w:val="20"/>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2" w:hRule="atLeast"/>
          <w:tblHeader/>
          <w:jc w:val="center"/>
        </w:trPr>
        <w:tc>
          <w:tcPr>
            <w:tcW w:w="291" w:type="pct"/>
            <w:vMerge w:val="continue"/>
          </w:tcPr>
          <w:p>
            <w:pPr>
              <w:spacing w:line="240" w:lineRule="auto"/>
              <w:jc w:val="center"/>
              <w:rPr>
                <w:rFonts w:asciiTheme="majorEastAsia" w:hAnsiTheme="majorEastAsia" w:eastAsiaTheme="majorEastAsia"/>
                <w:sz w:val="20"/>
                <w:szCs w:val="20"/>
              </w:rPr>
            </w:pPr>
          </w:p>
        </w:tc>
        <w:tc>
          <w:tcPr>
            <w:tcW w:w="291" w:type="pct"/>
            <w:vMerge w:val="continue"/>
            <w:vAlign w:val="center"/>
          </w:tcPr>
          <w:p>
            <w:pPr>
              <w:spacing w:line="240" w:lineRule="auto"/>
              <w:jc w:val="center"/>
              <w:rPr>
                <w:rFonts w:asciiTheme="majorEastAsia" w:hAnsiTheme="majorEastAsia" w:eastAsiaTheme="majorEastAsia"/>
                <w:sz w:val="20"/>
                <w:szCs w:val="20"/>
              </w:rPr>
            </w:pPr>
          </w:p>
        </w:tc>
        <w:tc>
          <w:tcPr>
            <w:tcW w:w="1834" w:type="pct"/>
            <w:vMerge w:val="continue"/>
            <w:vAlign w:val="center"/>
          </w:tcPr>
          <w:p>
            <w:pPr>
              <w:spacing w:line="240" w:lineRule="auto"/>
              <w:jc w:val="center"/>
              <w:rPr>
                <w:rFonts w:asciiTheme="majorEastAsia" w:hAnsiTheme="majorEastAsia" w:eastAsiaTheme="majorEastAsia"/>
                <w:sz w:val="20"/>
                <w:szCs w:val="20"/>
              </w:rPr>
            </w:pPr>
          </w:p>
        </w:tc>
        <w:tc>
          <w:tcPr>
            <w:tcW w:w="432" w:type="pct"/>
            <w:vAlign w:val="center"/>
          </w:tcPr>
          <w:p>
            <w:pPr>
              <w:widowControl/>
              <w:spacing w:line="240" w:lineRule="auto"/>
              <w:jc w:val="center"/>
              <w:textAlignment w:val="center"/>
              <w:rPr>
                <w:rFonts w:asciiTheme="majorEastAsia" w:hAnsiTheme="majorEastAsia" w:eastAsiaTheme="majorEastAsia"/>
                <w:b/>
                <w:sz w:val="20"/>
                <w:szCs w:val="20"/>
              </w:rPr>
            </w:pPr>
            <w:r>
              <w:rPr>
                <w:rFonts w:asciiTheme="majorEastAsia" w:hAnsiTheme="majorEastAsia" w:eastAsiaTheme="majorEastAsia"/>
                <w:b/>
                <w:kern w:val="0"/>
                <w:sz w:val="20"/>
                <w:szCs w:val="20"/>
              </w:rPr>
              <w:t>一</w:t>
            </w:r>
            <w:r>
              <w:rPr>
                <w:rFonts w:asciiTheme="majorEastAsia" w:hAnsiTheme="majorEastAsia" w:eastAsiaTheme="majorEastAsia"/>
                <w:b/>
                <w:kern w:val="0"/>
                <w:sz w:val="20"/>
                <w:szCs w:val="20"/>
                <w:lang w:eastAsia="en-US"/>
              </w:rPr>
              <w:t>级</w:t>
            </w:r>
          </w:p>
        </w:tc>
        <w:tc>
          <w:tcPr>
            <w:tcW w:w="548" w:type="pct"/>
            <w:vAlign w:val="center"/>
          </w:tcPr>
          <w:p>
            <w:pPr>
              <w:spacing w:line="240" w:lineRule="auto"/>
              <w:jc w:val="center"/>
              <w:rPr>
                <w:rFonts w:asciiTheme="majorEastAsia" w:hAnsiTheme="majorEastAsia" w:eastAsiaTheme="majorEastAsia"/>
                <w:b/>
                <w:sz w:val="20"/>
                <w:szCs w:val="20"/>
              </w:rPr>
            </w:pPr>
            <w:r>
              <w:rPr>
                <w:rFonts w:asciiTheme="majorEastAsia" w:hAnsiTheme="majorEastAsia" w:eastAsiaTheme="majorEastAsia"/>
                <w:b/>
                <w:sz w:val="20"/>
                <w:szCs w:val="20"/>
              </w:rPr>
              <w:t>二级</w:t>
            </w:r>
          </w:p>
        </w:tc>
        <w:tc>
          <w:tcPr>
            <w:tcW w:w="831" w:type="pct"/>
            <w:gridSpan w:val="2"/>
            <w:vMerge w:val="continue"/>
            <w:vAlign w:val="center"/>
          </w:tcPr>
          <w:p>
            <w:pPr>
              <w:spacing w:line="240" w:lineRule="auto"/>
              <w:jc w:val="center"/>
              <w:rPr>
                <w:rFonts w:asciiTheme="majorEastAsia" w:hAnsiTheme="majorEastAsia" w:eastAsiaTheme="majorEastAsia"/>
                <w:sz w:val="20"/>
                <w:szCs w:val="20"/>
              </w:rPr>
            </w:pPr>
          </w:p>
        </w:tc>
        <w:tc>
          <w:tcPr>
            <w:tcW w:w="773" w:type="pct"/>
            <w:vMerge w:val="continue"/>
            <w:vAlign w:val="center"/>
          </w:tcPr>
          <w:p>
            <w:pPr>
              <w:spacing w:line="240" w:lineRule="auto"/>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91" w:type="pct"/>
            <w:vMerge w:val="restart"/>
          </w:tcPr>
          <w:p>
            <w:pPr>
              <w:spacing w:line="240" w:lineRule="auto"/>
              <w:jc w:val="center"/>
              <w:rPr>
                <w:rFonts w:asciiTheme="majorEastAsia" w:hAnsiTheme="majorEastAsia" w:eastAsiaTheme="majorEastAsia"/>
                <w:b/>
                <w:sz w:val="20"/>
                <w:szCs w:val="20"/>
              </w:rPr>
            </w:pPr>
          </w:p>
          <w:p>
            <w:pPr>
              <w:spacing w:line="240" w:lineRule="auto"/>
              <w:jc w:val="center"/>
              <w:rPr>
                <w:rFonts w:asciiTheme="majorEastAsia" w:hAnsiTheme="majorEastAsia" w:eastAsiaTheme="majorEastAsia"/>
                <w:b/>
                <w:sz w:val="20"/>
                <w:szCs w:val="20"/>
              </w:rPr>
            </w:pPr>
          </w:p>
          <w:p>
            <w:pPr>
              <w:spacing w:line="240" w:lineRule="auto"/>
              <w:jc w:val="center"/>
              <w:rPr>
                <w:rFonts w:asciiTheme="majorEastAsia" w:hAnsiTheme="majorEastAsia" w:eastAsiaTheme="majorEastAsia"/>
                <w:b/>
                <w:sz w:val="20"/>
                <w:szCs w:val="20"/>
              </w:rPr>
            </w:pPr>
          </w:p>
          <w:p>
            <w:pPr>
              <w:spacing w:line="240" w:lineRule="auto"/>
              <w:jc w:val="center"/>
              <w:rPr>
                <w:rFonts w:asciiTheme="majorEastAsia" w:hAnsiTheme="majorEastAsia" w:eastAsiaTheme="majorEastAsia"/>
                <w:b/>
                <w:sz w:val="20"/>
                <w:szCs w:val="20"/>
              </w:rPr>
            </w:pPr>
          </w:p>
          <w:p>
            <w:pPr>
              <w:spacing w:line="240" w:lineRule="auto"/>
              <w:jc w:val="center"/>
              <w:rPr>
                <w:rFonts w:asciiTheme="majorEastAsia" w:hAnsiTheme="majorEastAsia" w:eastAsiaTheme="majorEastAsia"/>
                <w:b/>
                <w:sz w:val="20"/>
                <w:szCs w:val="20"/>
              </w:rPr>
            </w:pPr>
            <w:r>
              <w:rPr>
                <w:rFonts w:hint="eastAsia" w:asciiTheme="majorEastAsia" w:hAnsiTheme="majorEastAsia" w:eastAsiaTheme="majorEastAsia"/>
                <w:b/>
                <w:sz w:val="20"/>
                <w:szCs w:val="20"/>
              </w:rPr>
              <w:t>已建项目</w:t>
            </w:r>
          </w:p>
        </w:tc>
        <w:tc>
          <w:tcPr>
            <w:tcW w:w="291" w:type="pct"/>
            <w:vAlign w:val="center"/>
          </w:tcPr>
          <w:p>
            <w:pPr>
              <w:spacing w:line="240" w:lineRule="auto"/>
              <w:jc w:val="center"/>
              <w:rPr>
                <w:rFonts w:asciiTheme="majorEastAsia" w:hAnsiTheme="majorEastAsia" w:eastAsiaTheme="majorEastAsia"/>
                <w:b/>
                <w:sz w:val="20"/>
                <w:szCs w:val="20"/>
              </w:rPr>
            </w:pPr>
          </w:p>
        </w:tc>
        <w:tc>
          <w:tcPr>
            <w:tcW w:w="1834" w:type="pct"/>
            <w:vAlign w:val="center"/>
          </w:tcPr>
          <w:p>
            <w:pPr>
              <w:widowControl/>
              <w:spacing w:line="240" w:lineRule="auto"/>
              <w:jc w:val="center"/>
              <w:textAlignment w:val="center"/>
              <w:rPr>
                <w:rFonts w:asciiTheme="majorEastAsia" w:hAnsiTheme="majorEastAsia" w:eastAsiaTheme="majorEastAsia"/>
                <w:b/>
                <w:sz w:val="20"/>
                <w:szCs w:val="20"/>
              </w:rPr>
            </w:pPr>
            <w:r>
              <w:rPr>
                <w:rFonts w:asciiTheme="majorEastAsia" w:hAnsiTheme="majorEastAsia" w:eastAsiaTheme="majorEastAsia"/>
                <w:b/>
                <w:kern w:val="0"/>
                <w:sz w:val="20"/>
                <w:szCs w:val="20"/>
              </w:rPr>
              <w:t>合计</w:t>
            </w:r>
          </w:p>
        </w:tc>
        <w:tc>
          <w:tcPr>
            <w:tcW w:w="432" w:type="pct"/>
            <w:vAlign w:val="center"/>
          </w:tcPr>
          <w:p>
            <w:pPr>
              <w:spacing w:line="240" w:lineRule="auto"/>
              <w:jc w:val="center"/>
              <w:rPr>
                <w:rFonts w:asciiTheme="majorEastAsia" w:hAnsiTheme="majorEastAsia" w:eastAsiaTheme="majorEastAsia"/>
                <w:b/>
                <w:sz w:val="20"/>
                <w:szCs w:val="20"/>
              </w:rPr>
            </w:pPr>
          </w:p>
        </w:tc>
        <w:tc>
          <w:tcPr>
            <w:tcW w:w="548" w:type="pct"/>
          </w:tcPr>
          <w:p>
            <w:pPr>
              <w:spacing w:line="240" w:lineRule="auto"/>
              <w:jc w:val="center"/>
              <w:rPr>
                <w:rFonts w:asciiTheme="majorEastAsia" w:hAnsiTheme="majorEastAsia" w:eastAsiaTheme="majorEastAsia"/>
                <w:b/>
                <w:sz w:val="20"/>
                <w:szCs w:val="20"/>
              </w:rPr>
            </w:pPr>
            <w:r>
              <w:rPr>
                <w:rFonts w:asciiTheme="majorEastAsia" w:hAnsiTheme="majorEastAsia" w:eastAsiaTheme="majorEastAsia"/>
                <w:b/>
                <w:sz w:val="20"/>
                <w:szCs w:val="20"/>
              </w:rPr>
              <w:t>237.97</w:t>
            </w:r>
          </w:p>
        </w:tc>
        <w:tc>
          <w:tcPr>
            <w:tcW w:w="395" w:type="pct"/>
            <w:vAlign w:val="center"/>
          </w:tcPr>
          <w:p>
            <w:pPr>
              <w:spacing w:line="240" w:lineRule="auto"/>
              <w:jc w:val="center"/>
              <w:rPr>
                <w:rFonts w:asciiTheme="majorEastAsia" w:hAnsiTheme="majorEastAsia" w:eastAsiaTheme="majorEastAsia"/>
                <w:b/>
                <w:sz w:val="20"/>
                <w:szCs w:val="20"/>
              </w:rPr>
            </w:pPr>
          </w:p>
        </w:tc>
        <w:tc>
          <w:tcPr>
            <w:tcW w:w="436" w:type="pct"/>
            <w:vAlign w:val="center"/>
          </w:tcPr>
          <w:p>
            <w:pPr>
              <w:spacing w:line="240" w:lineRule="auto"/>
              <w:jc w:val="center"/>
              <w:rPr>
                <w:rFonts w:asciiTheme="majorEastAsia" w:hAnsiTheme="majorEastAsia" w:eastAsiaTheme="majorEastAsia"/>
                <w:b/>
                <w:sz w:val="20"/>
                <w:szCs w:val="20"/>
              </w:rPr>
            </w:pPr>
          </w:p>
        </w:tc>
        <w:tc>
          <w:tcPr>
            <w:tcW w:w="773" w:type="pct"/>
            <w:vAlign w:val="center"/>
          </w:tcPr>
          <w:p>
            <w:pPr>
              <w:spacing w:line="240" w:lineRule="auto"/>
              <w:jc w:val="center"/>
              <w:rPr>
                <w:rFonts w:asciiTheme="majorEastAsia" w:hAnsiTheme="majorEastAsia" w:eastAsiaTheme="majorEastAsia"/>
                <w:b/>
                <w:sz w:val="20"/>
                <w:szCs w:val="20"/>
              </w:rPr>
            </w:pPr>
            <w:r>
              <w:rPr>
                <w:rFonts w:asciiTheme="majorEastAsia" w:hAnsiTheme="majorEastAsia" w:eastAsiaTheme="majorEastAsia"/>
                <w:b/>
                <w:sz w:val="20"/>
                <w:szCs w:val="20"/>
              </w:rPr>
              <w:t>33.03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91" w:type="pct"/>
            <w:vMerge w:val="continue"/>
          </w:tcPr>
          <w:p>
            <w:pPr>
              <w:widowControl/>
              <w:spacing w:line="240" w:lineRule="auto"/>
              <w:jc w:val="center"/>
              <w:textAlignment w:val="center"/>
              <w:rPr>
                <w:rFonts w:asciiTheme="majorEastAsia" w:hAnsiTheme="majorEastAsia" w:eastAsiaTheme="majorEastAsia"/>
                <w:kern w:val="0"/>
                <w:sz w:val="20"/>
                <w:szCs w:val="20"/>
              </w:rPr>
            </w:pPr>
          </w:p>
        </w:tc>
        <w:tc>
          <w:tcPr>
            <w:tcW w:w="291" w:type="pct"/>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kern w:val="0"/>
                <w:sz w:val="20"/>
                <w:szCs w:val="20"/>
              </w:rPr>
              <w:t>1</w:t>
            </w:r>
          </w:p>
        </w:tc>
        <w:tc>
          <w:tcPr>
            <w:tcW w:w="1834" w:type="pct"/>
            <w:shd w:val="clear" w:color="000000" w:fill="FFFFFF"/>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六枝大用至木岗公路</w:t>
            </w:r>
          </w:p>
        </w:tc>
        <w:tc>
          <w:tcPr>
            <w:tcW w:w="432"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p>
        </w:tc>
        <w:tc>
          <w:tcPr>
            <w:tcW w:w="548" w:type="pct"/>
            <w:shd w:val="clear" w:color="auto" w:fill="auto"/>
            <w:vAlign w:val="center"/>
          </w:tcPr>
          <w:p>
            <w:pPr>
              <w:spacing w:line="240" w:lineRule="auto"/>
              <w:jc w:val="center"/>
              <w:rPr>
                <w:rFonts w:asciiTheme="majorEastAsia" w:hAnsiTheme="majorEastAsia" w:eastAsiaTheme="majorEastAsia"/>
                <w:kern w:val="0"/>
                <w:sz w:val="20"/>
                <w:szCs w:val="20"/>
              </w:rPr>
            </w:pPr>
            <w:r>
              <w:rPr>
                <w:rFonts w:hint="eastAsia" w:asciiTheme="majorEastAsia" w:hAnsiTheme="majorEastAsia" w:eastAsiaTheme="majorEastAsia"/>
                <w:color w:val="000000"/>
                <w:sz w:val="20"/>
                <w:szCs w:val="20"/>
              </w:rPr>
              <w:t>14.56</w:t>
            </w:r>
          </w:p>
        </w:tc>
        <w:tc>
          <w:tcPr>
            <w:tcW w:w="395" w:type="pct"/>
            <w:shd w:val="clear" w:color="auto" w:fill="auto"/>
            <w:vAlign w:val="center"/>
          </w:tcPr>
          <w:p>
            <w:pPr>
              <w:spacing w:line="240" w:lineRule="auto"/>
              <w:jc w:val="center"/>
              <w:rPr>
                <w:rFonts w:asciiTheme="majorEastAsia" w:hAnsiTheme="majorEastAsia" w:eastAsiaTheme="majorEastAsia"/>
                <w:sz w:val="20"/>
                <w:szCs w:val="20"/>
              </w:rPr>
            </w:pPr>
            <w:r>
              <w:rPr>
                <w:rFonts w:asciiTheme="majorEastAsia" w:hAnsiTheme="majorEastAsia" w:eastAsiaTheme="majorEastAsia"/>
                <w:color w:val="000000"/>
                <w:sz w:val="20"/>
                <w:szCs w:val="20"/>
              </w:rPr>
              <w:t>2016</w:t>
            </w:r>
          </w:p>
        </w:tc>
        <w:tc>
          <w:tcPr>
            <w:tcW w:w="436"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color w:val="000000"/>
                <w:sz w:val="20"/>
                <w:szCs w:val="20"/>
              </w:rPr>
              <w:t>20</w:t>
            </w:r>
            <w:r>
              <w:rPr>
                <w:rFonts w:hint="eastAsia" w:asciiTheme="majorEastAsia" w:hAnsiTheme="majorEastAsia" w:eastAsiaTheme="majorEastAsia"/>
                <w:color w:val="000000"/>
                <w:sz w:val="20"/>
                <w:szCs w:val="20"/>
              </w:rPr>
              <w:t>20</w:t>
            </w:r>
          </w:p>
        </w:tc>
        <w:tc>
          <w:tcPr>
            <w:tcW w:w="773"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color w:val="000000"/>
                <w:sz w:val="20"/>
                <w:szCs w:val="20"/>
              </w:rPr>
              <w:t>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91" w:type="pct"/>
            <w:vMerge w:val="continue"/>
          </w:tcPr>
          <w:p>
            <w:pPr>
              <w:widowControl/>
              <w:spacing w:line="240" w:lineRule="auto"/>
              <w:jc w:val="center"/>
              <w:textAlignment w:val="center"/>
              <w:rPr>
                <w:rFonts w:asciiTheme="majorEastAsia" w:hAnsiTheme="majorEastAsia" w:eastAsiaTheme="majorEastAsia"/>
                <w:kern w:val="0"/>
                <w:sz w:val="20"/>
                <w:szCs w:val="20"/>
              </w:rPr>
            </w:pPr>
          </w:p>
        </w:tc>
        <w:tc>
          <w:tcPr>
            <w:tcW w:w="291" w:type="pct"/>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kern w:val="0"/>
                <w:sz w:val="20"/>
                <w:szCs w:val="20"/>
              </w:rPr>
              <w:t>2</w:t>
            </w:r>
          </w:p>
        </w:tc>
        <w:tc>
          <w:tcPr>
            <w:tcW w:w="1834" w:type="pct"/>
            <w:shd w:val="clear" w:color="000000" w:fill="FFFFFF"/>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盘州雨格至普古公路</w:t>
            </w:r>
          </w:p>
        </w:tc>
        <w:tc>
          <w:tcPr>
            <w:tcW w:w="432"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p>
        </w:tc>
        <w:tc>
          <w:tcPr>
            <w:tcW w:w="548" w:type="pct"/>
            <w:shd w:val="clear" w:color="auto" w:fill="auto"/>
            <w:vAlign w:val="center"/>
          </w:tcPr>
          <w:p>
            <w:pPr>
              <w:spacing w:line="240" w:lineRule="auto"/>
              <w:jc w:val="center"/>
              <w:rPr>
                <w:rFonts w:asciiTheme="majorEastAsia" w:hAnsiTheme="majorEastAsia" w:eastAsiaTheme="majorEastAsia"/>
                <w:kern w:val="0"/>
                <w:sz w:val="20"/>
                <w:szCs w:val="20"/>
              </w:rPr>
            </w:pPr>
            <w:r>
              <w:rPr>
                <w:rFonts w:asciiTheme="majorEastAsia" w:hAnsiTheme="majorEastAsia" w:eastAsiaTheme="majorEastAsia"/>
                <w:kern w:val="0"/>
                <w:sz w:val="20"/>
                <w:szCs w:val="20"/>
              </w:rPr>
              <w:t>13</w:t>
            </w:r>
          </w:p>
        </w:tc>
        <w:tc>
          <w:tcPr>
            <w:tcW w:w="395" w:type="pct"/>
            <w:shd w:val="clear" w:color="auto" w:fill="auto"/>
            <w:vAlign w:val="center"/>
          </w:tcPr>
          <w:p>
            <w:pPr>
              <w:spacing w:line="240" w:lineRule="auto"/>
              <w:jc w:val="center"/>
              <w:rPr>
                <w:rFonts w:asciiTheme="majorEastAsia" w:hAnsiTheme="majorEastAsia" w:eastAsiaTheme="majorEastAsia"/>
                <w:sz w:val="20"/>
                <w:szCs w:val="20"/>
              </w:rPr>
            </w:pPr>
            <w:r>
              <w:rPr>
                <w:rFonts w:asciiTheme="majorEastAsia" w:hAnsiTheme="majorEastAsia" w:eastAsiaTheme="majorEastAsia"/>
                <w:color w:val="000000"/>
                <w:sz w:val="20"/>
                <w:szCs w:val="20"/>
              </w:rPr>
              <w:t>201</w:t>
            </w:r>
            <w:r>
              <w:rPr>
                <w:rFonts w:hint="eastAsia" w:asciiTheme="majorEastAsia" w:hAnsiTheme="majorEastAsia" w:eastAsiaTheme="majorEastAsia"/>
                <w:color w:val="000000"/>
                <w:sz w:val="20"/>
                <w:szCs w:val="20"/>
              </w:rPr>
              <w:t>6</w:t>
            </w:r>
          </w:p>
        </w:tc>
        <w:tc>
          <w:tcPr>
            <w:tcW w:w="436"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color w:val="000000"/>
                <w:sz w:val="20"/>
                <w:szCs w:val="20"/>
              </w:rPr>
              <w:t>201</w:t>
            </w:r>
            <w:r>
              <w:rPr>
                <w:rFonts w:hint="eastAsia" w:asciiTheme="majorEastAsia" w:hAnsiTheme="majorEastAsia" w:eastAsiaTheme="majorEastAsia"/>
                <w:color w:val="000000"/>
                <w:sz w:val="20"/>
                <w:szCs w:val="20"/>
              </w:rPr>
              <w:t>7</w:t>
            </w:r>
          </w:p>
        </w:tc>
        <w:tc>
          <w:tcPr>
            <w:tcW w:w="773"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color w:val="000000"/>
                <w:sz w:val="20"/>
                <w:szCs w:val="20"/>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91" w:type="pct"/>
            <w:vMerge w:val="continue"/>
          </w:tcPr>
          <w:p>
            <w:pPr>
              <w:widowControl/>
              <w:spacing w:line="240" w:lineRule="auto"/>
              <w:jc w:val="center"/>
              <w:textAlignment w:val="center"/>
              <w:rPr>
                <w:rFonts w:asciiTheme="majorEastAsia" w:hAnsiTheme="majorEastAsia" w:eastAsiaTheme="majorEastAsia"/>
                <w:bCs/>
                <w:kern w:val="0"/>
                <w:sz w:val="20"/>
                <w:szCs w:val="20"/>
              </w:rPr>
            </w:pPr>
          </w:p>
        </w:tc>
        <w:tc>
          <w:tcPr>
            <w:tcW w:w="291" w:type="pct"/>
            <w:vAlign w:val="center"/>
          </w:tcPr>
          <w:p>
            <w:pPr>
              <w:widowControl/>
              <w:spacing w:line="240" w:lineRule="auto"/>
              <w:jc w:val="center"/>
              <w:textAlignment w:val="center"/>
              <w:rPr>
                <w:rFonts w:asciiTheme="majorEastAsia" w:hAnsiTheme="majorEastAsia" w:eastAsiaTheme="majorEastAsia"/>
                <w:b/>
                <w:sz w:val="20"/>
                <w:szCs w:val="20"/>
              </w:rPr>
            </w:pPr>
            <w:r>
              <w:rPr>
                <w:rFonts w:asciiTheme="majorEastAsia" w:hAnsiTheme="majorEastAsia" w:eastAsiaTheme="majorEastAsia"/>
                <w:bCs/>
                <w:kern w:val="0"/>
                <w:sz w:val="20"/>
                <w:szCs w:val="20"/>
              </w:rPr>
              <w:t>3</w:t>
            </w:r>
          </w:p>
        </w:tc>
        <w:tc>
          <w:tcPr>
            <w:tcW w:w="1834" w:type="pct"/>
            <w:shd w:val="clear" w:color="000000" w:fill="FFFFFF"/>
            <w:vAlign w:val="center"/>
          </w:tcPr>
          <w:p>
            <w:pPr>
              <w:widowControl/>
              <w:spacing w:line="240" w:lineRule="auto"/>
              <w:jc w:val="center"/>
              <w:textAlignment w:val="center"/>
              <w:rPr>
                <w:rFonts w:asciiTheme="majorEastAsia" w:hAnsiTheme="majorEastAsia" w:eastAsiaTheme="majorEastAsia"/>
                <w:b/>
                <w:sz w:val="20"/>
                <w:szCs w:val="20"/>
              </w:rPr>
            </w:pPr>
            <w:r>
              <w:rPr>
                <w:rFonts w:hint="eastAsia" w:asciiTheme="majorEastAsia" w:hAnsiTheme="majorEastAsia" w:eastAsiaTheme="majorEastAsia"/>
                <w:sz w:val="20"/>
                <w:szCs w:val="20"/>
              </w:rPr>
              <w:t>盘兴高速保田互通联络线</w:t>
            </w:r>
          </w:p>
        </w:tc>
        <w:tc>
          <w:tcPr>
            <w:tcW w:w="432"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p>
        </w:tc>
        <w:tc>
          <w:tcPr>
            <w:tcW w:w="548" w:type="pct"/>
            <w:shd w:val="clear" w:color="auto" w:fill="auto"/>
            <w:vAlign w:val="center"/>
          </w:tcPr>
          <w:p>
            <w:pPr>
              <w:spacing w:line="240" w:lineRule="auto"/>
              <w:jc w:val="center"/>
              <w:rPr>
                <w:rFonts w:asciiTheme="majorEastAsia" w:hAnsiTheme="majorEastAsia" w:eastAsiaTheme="majorEastAsia"/>
                <w:kern w:val="0"/>
                <w:sz w:val="20"/>
                <w:szCs w:val="20"/>
              </w:rPr>
            </w:pPr>
            <w:r>
              <w:rPr>
                <w:rFonts w:hint="eastAsia" w:asciiTheme="majorEastAsia" w:hAnsiTheme="majorEastAsia" w:eastAsiaTheme="majorEastAsia"/>
                <w:kern w:val="0"/>
                <w:sz w:val="20"/>
                <w:szCs w:val="20"/>
              </w:rPr>
              <w:t>2</w:t>
            </w:r>
          </w:p>
        </w:tc>
        <w:tc>
          <w:tcPr>
            <w:tcW w:w="395" w:type="pct"/>
            <w:shd w:val="clear" w:color="auto" w:fill="auto"/>
            <w:vAlign w:val="center"/>
          </w:tcPr>
          <w:p>
            <w:pPr>
              <w:spacing w:line="240" w:lineRule="auto"/>
              <w:jc w:val="center"/>
              <w:rPr>
                <w:rFonts w:asciiTheme="majorEastAsia" w:hAnsiTheme="majorEastAsia" w:eastAsiaTheme="majorEastAsia"/>
                <w:sz w:val="20"/>
                <w:szCs w:val="20"/>
              </w:rPr>
            </w:pPr>
            <w:r>
              <w:rPr>
                <w:rFonts w:asciiTheme="majorEastAsia" w:hAnsiTheme="majorEastAsia" w:eastAsiaTheme="majorEastAsia"/>
                <w:sz w:val="20"/>
                <w:szCs w:val="20"/>
              </w:rPr>
              <w:t>2016</w:t>
            </w:r>
          </w:p>
        </w:tc>
        <w:tc>
          <w:tcPr>
            <w:tcW w:w="436"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201</w:t>
            </w:r>
            <w:r>
              <w:rPr>
                <w:rFonts w:hint="eastAsia" w:asciiTheme="majorEastAsia" w:hAnsiTheme="majorEastAsia" w:eastAsiaTheme="majorEastAsia"/>
                <w:sz w:val="20"/>
                <w:szCs w:val="20"/>
              </w:rPr>
              <w:t>7</w:t>
            </w:r>
          </w:p>
        </w:tc>
        <w:tc>
          <w:tcPr>
            <w:tcW w:w="773"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91" w:type="pct"/>
            <w:vMerge w:val="continue"/>
          </w:tcPr>
          <w:p>
            <w:pPr>
              <w:widowControl/>
              <w:spacing w:line="240" w:lineRule="auto"/>
              <w:jc w:val="center"/>
              <w:textAlignment w:val="center"/>
              <w:rPr>
                <w:rFonts w:asciiTheme="majorEastAsia" w:hAnsiTheme="majorEastAsia" w:eastAsiaTheme="majorEastAsia"/>
                <w:bCs/>
                <w:kern w:val="0"/>
                <w:sz w:val="20"/>
                <w:szCs w:val="20"/>
              </w:rPr>
            </w:pPr>
          </w:p>
        </w:tc>
        <w:tc>
          <w:tcPr>
            <w:tcW w:w="291" w:type="pct"/>
            <w:vAlign w:val="center"/>
          </w:tcPr>
          <w:p>
            <w:pPr>
              <w:widowControl/>
              <w:spacing w:line="240" w:lineRule="auto"/>
              <w:jc w:val="center"/>
              <w:textAlignment w:val="center"/>
              <w:rPr>
                <w:rFonts w:asciiTheme="majorEastAsia" w:hAnsiTheme="majorEastAsia" w:eastAsiaTheme="majorEastAsia"/>
                <w:bCs/>
                <w:kern w:val="0"/>
                <w:sz w:val="20"/>
                <w:szCs w:val="20"/>
              </w:rPr>
            </w:pPr>
            <w:r>
              <w:rPr>
                <w:rFonts w:asciiTheme="majorEastAsia" w:hAnsiTheme="majorEastAsia" w:eastAsiaTheme="majorEastAsia"/>
                <w:bCs/>
                <w:kern w:val="0"/>
                <w:sz w:val="20"/>
                <w:szCs w:val="20"/>
              </w:rPr>
              <w:t>4</w:t>
            </w:r>
          </w:p>
        </w:tc>
        <w:tc>
          <w:tcPr>
            <w:tcW w:w="1834" w:type="pct"/>
            <w:shd w:val="clear" w:color="auto" w:fill="auto"/>
            <w:vAlign w:val="center"/>
          </w:tcPr>
          <w:p>
            <w:pPr>
              <w:widowControl/>
              <w:spacing w:line="240" w:lineRule="auto"/>
              <w:jc w:val="center"/>
              <w:textAlignment w:val="center"/>
              <w:rPr>
                <w:rFonts w:asciiTheme="majorEastAsia" w:hAnsiTheme="majorEastAsia" w:eastAsiaTheme="majorEastAsia"/>
                <w:b/>
                <w:sz w:val="20"/>
                <w:szCs w:val="20"/>
              </w:rPr>
            </w:pPr>
            <w:r>
              <w:rPr>
                <w:rFonts w:hint="eastAsia" w:asciiTheme="majorEastAsia" w:hAnsiTheme="majorEastAsia" w:eastAsiaTheme="majorEastAsia"/>
                <w:color w:val="000000"/>
                <w:sz w:val="20"/>
                <w:szCs w:val="20"/>
              </w:rPr>
              <w:t>盘州十里坪至机密丫口公路</w:t>
            </w:r>
          </w:p>
        </w:tc>
        <w:tc>
          <w:tcPr>
            <w:tcW w:w="432"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p>
        </w:tc>
        <w:tc>
          <w:tcPr>
            <w:tcW w:w="548" w:type="pct"/>
            <w:shd w:val="clear" w:color="auto" w:fill="auto"/>
            <w:vAlign w:val="center"/>
          </w:tcPr>
          <w:p>
            <w:pPr>
              <w:spacing w:line="240" w:lineRule="auto"/>
              <w:jc w:val="center"/>
              <w:rPr>
                <w:rFonts w:asciiTheme="majorEastAsia" w:hAnsiTheme="majorEastAsia" w:eastAsiaTheme="majorEastAsia"/>
                <w:kern w:val="0"/>
                <w:sz w:val="20"/>
                <w:szCs w:val="20"/>
              </w:rPr>
            </w:pPr>
            <w:r>
              <w:rPr>
                <w:rFonts w:hint="eastAsia" w:asciiTheme="majorEastAsia" w:hAnsiTheme="majorEastAsia" w:eastAsiaTheme="majorEastAsia"/>
                <w:kern w:val="0"/>
                <w:sz w:val="20"/>
                <w:szCs w:val="20"/>
              </w:rPr>
              <w:t>15</w:t>
            </w:r>
          </w:p>
        </w:tc>
        <w:tc>
          <w:tcPr>
            <w:tcW w:w="395" w:type="pct"/>
            <w:shd w:val="clear" w:color="auto" w:fill="auto"/>
            <w:vAlign w:val="center"/>
          </w:tcPr>
          <w:p>
            <w:pPr>
              <w:spacing w:line="240" w:lineRule="auto"/>
              <w:jc w:val="center"/>
              <w:rPr>
                <w:rFonts w:asciiTheme="majorEastAsia" w:hAnsiTheme="majorEastAsia" w:eastAsiaTheme="majorEastAsia"/>
                <w:sz w:val="20"/>
                <w:szCs w:val="20"/>
              </w:rPr>
            </w:pPr>
            <w:r>
              <w:rPr>
                <w:rFonts w:asciiTheme="majorEastAsia" w:hAnsiTheme="majorEastAsia" w:eastAsiaTheme="majorEastAsia"/>
                <w:color w:val="000000"/>
                <w:sz w:val="20"/>
                <w:szCs w:val="20"/>
              </w:rPr>
              <w:t>201</w:t>
            </w:r>
            <w:r>
              <w:rPr>
                <w:rFonts w:hint="eastAsia" w:asciiTheme="majorEastAsia" w:hAnsiTheme="majorEastAsia" w:eastAsiaTheme="majorEastAsia"/>
                <w:color w:val="000000"/>
                <w:sz w:val="20"/>
                <w:szCs w:val="20"/>
              </w:rPr>
              <w:t>7</w:t>
            </w:r>
          </w:p>
        </w:tc>
        <w:tc>
          <w:tcPr>
            <w:tcW w:w="436"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color w:val="000000"/>
                <w:sz w:val="20"/>
                <w:szCs w:val="20"/>
              </w:rPr>
              <w:t>20</w:t>
            </w:r>
            <w:r>
              <w:rPr>
                <w:rFonts w:hint="eastAsia" w:asciiTheme="majorEastAsia" w:hAnsiTheme="majorEastAsia" w:eastAsiaTheme="majorEastAsia"/>
                <w:color w:val="000000"/>
                <w:sz w:val="20"/>
                <w:szCs w:val="20"/>
              </w:rPr>
              <w:t>19</w:t>
            </w:r>
          </w:p>
        </w:tc>
        <w:tc>
          <w:tcPr>
            <w:tcW w:w="773"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color w:val="000000"/>
                <w:sz w:val="20"/>
                <w:szCs w:val="20"/>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91" w:type="pct"/>
            <w:vMerge w:val="continue"/>
          </w:tcPr>
          <w:p>
            <w:pPr>
              <w:widowControl/>
              <w:spacing w:line="240" w:lineRule="auto"/>
              <w:jc w:val="center"/>
              <w:textAlignment w:val="center"/>
              <w:rPr>
                <w:rFonts w:asciiTheme="majorEastAsia" w:hAnsiTheme="majorEastAsia" w:eastAsiaTheme="majorEastAsia"/>
                <w:bCs/>
                <w:kern w:val="0"/>
                <w:sz w:val="20"/>
                <w:szCs w:val="20"/>
              </w:rPr>
            </w:pPr>
          </w:p>
        </w:tc>
        <w:tc>
          <w:tcPr>
            <w:tcW w:w="291" w:type="pct"/>
            <w:vAlign w:val="center"/>
          </w:tcPr>
          <w:p>
            <w:pPr>
              <w:widowControl/>
              <w:spacing w:line="240" w:lineRule="auto"/>
              <w:jc w:val="center"/>
              <w:textAlignment w:val="center"/>
              <w:rPr>
                <w:rFonts w:asciiTheme="majorEastAsia" w:hAnsiTheme="majorEastAsia" w:eastAsiaTheme="majorEastAsia"/>
                <w:bCs/>
                <w:kern w:val="0"/>
                <w:sz w:val="20"/>
                <w:szCs w:val="20"/>
              </w:rPr>
            </w:pPr>
            <w:r>
              <w:rPr>
                <w:rFonts w:asciiTheme="majorEastAsia" w:hAnsiTheme="majorEastAsia" w:eastAsiaTheme="majorEastAsia"/>
                <w:bCs/>
                <w:kern w:val="0"/>
                <w:sz w:val="20"/>
                <w:szCs w:val="20"/>
              </w:rPr>
              <w:t>5</w:t>
            </w:r>
          </w:p>
        </w:tc>
        <w:tc>
          <w:tcPr>
            <w:tcW w:w="1834" w:type="pct"/>
            <w:shd w:val="clear" w:color="auto" w:fill="auto"/>
            <w:vAlign w:val="center"/>
          </w:tcPr>
          <w:p>
            <w:pPr>
              <w:widowControl/>
              <w:spacing w:line="240" w:lineRule="auto"/>
              <w:jc w:val="center"/>
              <w:textAlignment w:val="center"/>
              <w:rPr>
                <w:rFonts w:asciiTheme="majorEastAsia" w:hAnsiTheme="majorEastAsia" w:eastAsiaTheme="majorEastAsia"/>
                <w:b/>
                <w:sz w:val="20"/>
                <w:szCs w:val="20"/>
              </w:rPr>
            </w:pPr>
            <w:r>
              <w:rPr>
                <w:rFonts w:hint="eastAsia" w:asciiTheme="majorEastAsia" w:hAnsiTheme="majorEastAsia" w:eastAsiaTheme="majorEastAsia"/>
                <w:color w:val="000000"/>
                <w:sz w:val="20"/>
                <w:szCs w:val="20"/>
              </w:rPr>
              <w:t>水城阿戛至果布戛公路</w:t>
            </w:r>
          </w:p>
        </w:tc>
        <w:tc>
          <w:tcPr>
            <w:tcW w:w="432"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p>
        </w:tc>
        <w:tc>
          <w:tcPr>
            <w:tcW w:w="548" w:type="pct"/>
            <w:shd w:val="clear" w:color="auto" w:fill="auto"/>
            <w:vAlign w:val="center"/>
          </w:tcPr>
          <w:p>
            <w:pPr>
              <w:spacing w:line="240" w:lineRule="auto"/>
              <w:jc w:val="center"/>
              <w:rPr>
                <w:rFonts w:asciiTheme="majorEastAsia" w:hAnsiTheme="majorEastAsia" w:eastAsiaTheme="majorEastAsia"/>
                <w:kern w:val="0"/>
                <w:sz w:val="20"/>
                <w:szCs w:val="20"/>
              </w:rPr>
            </w:pPr>
            <w:r>
              <w:rPr>
                <w:rFonts w:hint="eastAsia" w:asciiTheme="majorEastAsia" w:hAnsiTheme="majorEastAsia" w:eastAsiaTheme="majorEastAsia"/>
                <w:kern w:val="0"/>
                <w:sz w:val="20"/>
                <w:szCs w:val="20"/>
              </w:rPr>
              <w:t>22.1</w:t>
            </w:r>
          </w:p>
        </w:tc>
        <w:tc>
          <w:tcPr>
            <w:tcW w:w="395" w:type="pct"/>
            <w:shd w:val="clear" w:color="auto" w:fill="auto"/>
            <w:vAlign w:val="center"/>
          </w:tcPr>
          <w:p>
            <w:pPr>
              <w:spacing w:line="240" w:lineRule="auto"/>
              <w:jc w:val="center"/>
              <w:rPr>
                <w:rFonts w:asciiTheme="majorEastAsia" w:hAnsiTheme="majorEastAsia" w:eastAsiaTheme="majorEastAsia"/>
                <w:sz w:val="20"/>
                <w:szCs w:val="20"/>
              </w:rPr>
            </w:pPr>
            <w:r>
              <w:rPr>
                <w:rFonts w:asciiTheme="majorEastAsia" w:hAnsiTheme="majorEastAsia" w:eastAsiaTheme="majorEastAsia"/>
                <w:color w:val="000000"/>
                <w:sz w:val="20"/>
                <w:szCs w:val="20"/>
              </w:rPr>
              <w:t>201</w:t>
            </w:r>
            <w:r>
              <w:rPr>
                <w:rFonts w:hint="eastAsia" w:asciiTheme="majorEastAsia" w:hAnsiTheme="majorEastAsia" w:eastAsiaTheme="majorEastAsia"/>
                <w:color w:val="000000"/>
                <w:sz w:val="20"/>
                <w:szCs w:val="20"/>
              </w:rPr>
              <w:t>7</w:t>
            </w:r>
          </w:p>
        </w:tc>
        <w:tc>
          <w:tcPr>
            <w:tcW w:w="436"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color w:val="000000"/>
                <w:sz w:val="20"/>
                <w:szCs w:val="20"/>
              </w:rPr>
              <w:t>2019</w:t>
            </w:r>
          </w:p>
        </w:tc>
        <w:tc>
          <w:tcPr>
            <w:tcW w:w="773"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r>
              <w:rPr>
                <w:rFonts w:asciiTheme="majorEastAsia" w:hAnsiTheme="majorEastAsia" w:eastAsiaTheme="majorEastAsia"/>
                <w:sz w:val="20"/>
                <w:szCs w:val="20"/>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91" w:type="pct"/>
            <w:vMerge w:val="continue"/>
          </w:tcPr>
          <w:p>
            <w:pPr>
              <w:widowControl/>
              <w:spacing w:line="240" w:lineRule="auto"/>
              <w:jc w:val="center"/>
              <w:textAlignment w:val="center"/>
              <w:rPr>
                <w:rFonts w:asciiTheme="majorEastAsia" w:hAnsiTheme="majorEastAsia" w:eastAsiaTheme="majorEastAsia"/>
                <w:bCs/>
                <w:kern w:val="0"/>
                <w:sz w:val="20"/>
                <w:szCs w:val="20"/>
              </w:rPr>
            </w:pPr>
          </w:p>
        </w:tc>
        <w:tc>
          <w:tcPr>
            <w:tcW w:w="291" w:type="pct"/>
            <w:vAlign w:val="center"/>
          </w:tcPr>
          <w:p>
            <w:pPr>
              <w:widowControl/>
              <w:spacing w:line="240" w:lineRule="auto"/>
              <w:jc w:val="center"/>
              <w:textAlignment w:val="center"/>
              <w:rPr>
                <w:rFonts w:asciiTheme="majorEastAsia" w:hAnsiTheme="majorEastAsia" w:eastAsiaTheme="majorEastAsia"/>
                <w:bCs/>
                <w:kern w:val="0"/>
                <w:sz w:val="20"/>
                <w:szCs w:val="20"/>
              </w:rPr>
            </w:pPr>
            <w:r>
              <w:rPr>
                <w:rFonts w:hint="eastAsia" w:asciiTheme="majorEastAsia" w:hAnsiTheme="majorEastAsia" w:eastAsiaTheme="majorEastAsia"/>
                <w:bCs/>
                <w:kern w:val="0"/>
                <w:sz w:val="20"/>
                <w:szCs w:val="20"/>
              </w:rPr>
              <w:t>6</w:t>
            </w:r>
          </w:p>
        </w:tc>
        <w:tc>
          <w:tcPr>
            <w:tcW w:w="1834" w:type="pct"/>
            <w:shd w:val="clear" w:color="auto" w:fill="auto"/>
            <w:vAlign w:val="center"/>
          </w:tcPr>
          <w:p>
            <w:pPr>
              <w:widowControl/>
              <w:spacing w:line="240" w:lineRule="auto"/>
              <w:jc w:val="center"/>
              <w:textAlignment w:val="center"/>
              <w:rPr>
                <w:rFonts w:asciiTheme="majorEastAsia" w:hAnsiTheme="majorEastAsia" w:eastAsiaTheme="majorEastAsia"/>
                <w:color w:val="000000"/>
                <w:sz w:val="20"/>
                <w:szCs w:val="20"/>
              </w:rPr>
            </w:pPr>
            <w:r>
              <w:rPr>
                <w:rFonts w:hint="eastAsia" w:asciiTheme="majorEastAsia" w:hAnsiTheme="majorEastAsia" w:eastAsiaTheme="majorEastAsia"/>
                <w:color w:val="000000"/>
                <w:sz w:val="20"/>
                <w:szCs w:val="20"/>
              </w:rPr>
              <w:t>水城发耳互通至杨梅公路</w:t>
            </w:r>
          </w:p>
        </w:tc>
        <w:tc>
          <w:tcPr>
            <w:tcW w:w="432"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p>
        </w:tc>
        <w:tc>
          <w:tcPr>
            <w:tcW w:w="548" w:type="pct"/>
            <w:shd w:val="clear" w:color="auto" w:fill="auto"/>
            <w:vAlign w:val="center"/>
          </w:tcPr>
          <w:p>
            <w:pPr>
              <w:spacing w:line="240" w:lineRule="auto"/>
              <w:jc w:val="center"/>
              <w:rPr>
                <w:rFonts w:asciiTheme="majorEastAsia" w:hAnsiTheme="majorEastAsia" w:eastAsiaTheme="majorEastAsia"/>
                <w:kern w:val="0"/>
                <w:sz w:val="20"/>
                <w:szCs w:val="20"/>
              </w:rPr>
            </w:pPr>
            <w:r>
              <w:rPr>
                <w:rFonts w:hint="eastAsia" w:asciiTheme="majorEastAsia" w:hAnsiTheme="majorEastAsia" w:eastAsiaTheme="majorEastAsia"/>
                <w:kern w:val="0"/>
                <w:sz w:val="20"/>
                <w:szCs w:val="20"/>
              </w:rPr>
              <w:t>8.29</w:t>
            </w:r>
          </w:p>
        </w:tc>
        <w:tc>
          <w:tcPr>
            <w:tcW w:w="395" w:type="pct"/>
            <w:shd w:val="clear" w:color="auto" w:fill="auto"/>
            <w:vAlign w:val="center"/>
          </w:tcPr>
          <w:p>
            <w:pPr>
              <w:spacing w:line="240" w:lineRule="auto"/>
              <w:jc w:val="center"/>
              <w:rPr>
                <w:rFonts w:asciiTheme="majorEastAsia" w:hAnsiTheme="majorEastAsia" w:eastAsiaTheme="majorEastAsia"/>
                <w:color w:val="000000"/>
                <w:sz w:val="20"/>
                <w:szCs w:val="20"/>
              </w:rPr>
            </w:pPr>
            <w:r>
              <w:rPr>
                <w:rFonts w:hint="eastAsia" w:asciiTheme="majorEastAsia" w:hAnsiTheme="majorEastAsia" w:eastAsiaTheme="majorEastAsia"/>
                <w:color w:val="000000"/>
                <w:sz w:val="20"/>
                <w:szCs w:val="20"/>
              </w:rPr>
              <w:t>2017</w:t>
            </w:r>
          </w:p>
        </w:tc>
        <w:tc>
          <w:tcPr>
            <w:tcW w:w="436" w:type="pct"/>
            <w:shd w:val="clear" w:color="auto" w:fill="auto"/>
            <w:vAlign w:val="center"/>
          </w:tcPr>
          <w:p>
            <w:pPr>
              <w:widowControl/>
              <w:spacing w:line="240" w:lineRule="auto"/>
              <w:jc w:val="center"/>
              <w:textAlignment w:val="center"/>
              <w:rPr>
                <w:rFonts w:asciiTheme="majorEastAsia" w:hAnsiTheme="majorEastAsia" w:eastAsiaTheme="majorEastAsia"/>
                <w:color w:val="000000"/>
                <w:sz w:val="20"/>
                <w:szCs w:val="20"/>
              </w:rPr>
            </w:pPr>
            <w:r>
              <w:rPr>
                <w:rFonts w:hint="eastAsia" w:asciiTheme="majorEastAsia" w:hAnsiTheme="majorEastAsia" w:eastAsiaTheme="majorEastAsia"/>
                <w:color w:val="000000"/>
                <w:sz w:val="20"/>
                <w:szCs w:val="20"/>
              </w:rPr>
              <w:t>20</w:t>
            </w:r>
            <w:r>
              <w:rPr>
                <w:rFonts w:asciiTheme="majorEastAsia" w:hAnsiTheme="majorEastAsia" w:eastAsiaTheme="majorEastAsia"/>
                <w:color w:val="000000"/>
                <w:sz w:val="20"/>
                <w:szCs w:val="20"/>
              </w:rPr>
              <w:t>20</w:t>
            </w:r>
          </w:p>
        </w:tc>
        <w:tc>
          <w:tcPr>
            <w:tcW w:w="773"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91" w:type="pct"/>
            <w:vMerge w:val="continue"/>
          </w:tcPr>
          <w:p>
            <w:pPr>
              <w:widowControl/>
              <w:spacing w:line="240" w:lineRule="auto"/>
              <w:jc w:val="center"/>
              <w:textAlignment w:val="center"/>
              <w:rPr>
                <w:rFonts w:asciiTheme="majorEastAsia" w:hAnsiTheme="majorEastAsia" w:eastAsiaTheme="majorEastAsia"/>
                <w:bCs/>
                <w:kern w:val="0"/>
                <w:sz w:val="20"/>
                <w:szCs w:val="20"/>
              </w:rPr>
            </w:pPr>
          </w:p>
        </w:tc>
        <w:tc>
          <w:tcPr>
            <w:tcW w:w="291" w:type="pct"/>
            <w:vAlign w:val="center"/>
          </w:tcPr>
          <w:p>
            <w:pPr>
              <w:widowControl/>
              <w:spacing w:line="240" w:lineRule="auto"/>
              <w:jc w:val="center"/>
              <w:textAlignment w:val="center"/>
              <w:rPr>
                <w:rFonts w:asciiTheme="majorEastAsia" w:hAnsiTheme="majorEastAsia" w:eastAsiaTheme="majorEastAsia"/>
                <w:bCs/>
                <w:kern w:val="0"/>
                <w:sz w:val="20"/>
                <w:szCs w:val="20"/>
              </w:rPr>
            </w:pPr>
            <w:r>
              <w:rPr>
                <w:rFonts w:hint="eastAsia" w:asciiTheme="majorEastAsia" w:hAnsiTheme="majorEastAsia" w:eastAsiaTheme="majorEastAsia"/>
                <w:bCs/>
                <w:kern w:val="0"/>
                <w:sz w:val="20"/>
                <w:szCs w:val="20"/>
              </w:rPr>
              <w:t>7</w:t>
            </w:r>
          </w:p>
        </w:tc>
        <w:tc>
          <w:tcPr>
            <w:tcW w:w="1834" w:type="pct"/>
            <w:shd w:val="clear" w:color="auto" w:fill="auto"/>
            <w:vAlign w:val="center"/>
          </w:tcPr>
          <w:p>
            <w:pPr>
              <w:widowControl/>
              <w:spacing w:line="240" w:lineRule="auto"/>
              <w:jc w:val="center"/>
              <w:textAlignment w:val="center"/>
              <w:rPr>
                <w:rFonts w:asciiTheme="majorEastAsia" w:hAnsiTheme="majorEastAsia" w:eastAsiaTheme="majorEastAsia"/>
                <w:b/>
                <w:sz w:val="20"/>
                <w:szCs w:val="20"/>
              </w:rPr>
            </w:pPr>
            <w:r>
              <w:rPr>
                <w:rFonts w:hint="eastAsia" w:asciiTheme="majorEastAsia" w:hAnsiTheme="majorEastAsia" w:eastAsiaTheme="majorEastAsia"/>
                <w:color w:val="000000"/>
                <w:sz w:val="20"/>
                <w:szCs w:val="20"/>
              </w:rPr>
              <w:t>六威高速大湾互通联络线</w:t>
            </w:r>
          </w:p>
        </w:tc>
        <w:tc>
          <w:tcPr>
            <w:tcW w:w="432"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p>
        </w:tc>
        <w:tc>
          <w:tcPr>
            <w:tcW w:w="548" w:type="pct"/>
            <w:shd w:val="clear" w:color="auto" w:fill="auto"/>
            <w:vAlign w:val="center"/>
          </w:tcPr>
          <w:p>
            <w:pPr>
              <w:spacing w:line="240" w:lineRule="auto"/>
              <w:jc w:val="center"/>
              <w:rPr>
                <w:rFonts w:asciiTheme="majorEastAsia" w:hAnsiTheme="majorEastAsia" w:eastAsiaTheme="majorEastAsia"/>
                <w:kern w:val="0"/>
                <w:sz w:val="20"/>
                <w:szCs w:val="20"/>
              </w:rPr>
            </w:pPr>
            <w:r>
              <w:rPr>
                <w:rFonts w:hint="eastAsia" w:asciiTheme="majorEastAsia" w:hAnsiTheme="majorEastAsia" w:eastAsiaTheme="majorEastAsia"/>
                <w:color w:val="000000"/>
                <w:sz w:val="20"/>
                <w:szCs w:val="20"/>
              </w:rPr>
              <w:t>1</w:t>
            </w:r>
          </w:p>
        </w:tc>
        <w:tc>
          <w:tcPr>
            <w:tcW w:w="395" w:type="pct"/>
            <w:shd w:val="clear" w:color="auto" w:fill="auto"/>
            <w:vAlign w:val="center"/>
          </w:tcPr>
          <w:p>
            <w:pPr>
              <w:spacing w:line="240" w:lineRule="auto"/>
              <w:jc w:val="center"/>
              <w:rPr>
                <w:rFonts w:asciiTheme="majorEastAsia" w:hAnsiTheme="majorEastAsia" w:eastAsiaTheme="majorEastAsia"/>
                <w:sz w:val="20"/>
                <w:szCs w:val="20"/>
              </w:rPr>
            </w:pPr>
            <w:r>
              <w:rPr>
                <w:rFonts w:asciiTheme="majorEastAsia" w:hAnsiTheme="majorEastAsia" w:eastAsiaTheme="majorEastAsia"/>
                <w:color w:val="000000"/>
                <w:sz w:val="20"/>
                <w:szCs w:val="20"/>
              </w:rPr>
              <w:t>201</w:t>
            </w:r>
            <w:r>
              <w:rPr>
                <w:rFonts w:hint="eastAsia" w:asciiTheme="majorEastAsia" w:hAnsiTheme="majorEastAsia" w:eastAsiaTheme="majorEastAsia"/>
                <w:color w:val="000000"/>
                <w:sz w:val="20"/>
                <w:szCs w:val="20"/>
              </w:rPr>
              <w:t>7</w:t>
            </w:r>
          </w:p>
        </w:tc>
        <w:tc>
          <w:tcPr>
            <w:tcW w:w="436"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color w:val="000000"/>
                <w:sz w:val="20"/>
                <w:szCs w:val="20"/>
              </w:rPr>
              <w:t>201</w:t>
            </w:r>
            <w:r>
              <w:rPr>
                <w:rFonts w:hint="eastAsia" w:asciiTheme="majorEastAsia" w:hAnsiTheme="majorEastAsia" w:eastAsiaTheme="majorEastAsia"/>
                <w:color w:val="000000"/>
                <w:sz w:val="20"/>
                <w:szCs w:val="20"/>
              </w:rPr>
              <w:t>8</w:t>
            </w:r>
          </w:p>
        </w:tc>
        <w:tc>
          <w:tcPr>
            <w:tcW w:w="773"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91" w:type="pct"/>
            <w:vMerge w:val="continue"/>
          </w:tcPr>
          <w:p>
            <w:pPr>
              <w:widowControl/>
              <w:spacing w:line="240" w:lineRule="auto"/>
              <w:jc w:val="center"/>
              <w:textAlignment w:val="center"/>
              <w:rPr>
                <w:rFonts w:asciiTheme="majorEastAsia" w:hAnsiTheme="majorEastAsia" w:eastAsiaTheme="majorEastAsia"/>
                <w:bCs/>
                <w:kern w:val="0"/>
                <w:sz w:val="20"/>
                <w:szCs w:val="20"/>
              </w:rPr>
            </w:pPr>
          </w:p>
        </w:tc>
        <w:tc>
          <w:tcPr>
            <w:tcW w:w="291" w:type="pct"/>
            <w:vAlign w:val="center"/>
          </w:tcPr>
          <w:p>
            <w:pPr>
              <w:widowControl/>
              <w:spacing w:line="240" w:lineRule="auto"/>
              <w:jc w:val="center"/>
              <w:textAlignment w:val="center"/>
              <w:rPr>
                <w:rFonts w:asciiTheme="majorEastAsia" w:hAnsiTheme="majorEastAsia" w:eastAsiaTheme="majorEastAsia"/>
                <w:bCs/>
                <w:kern w:val="0"/>
                <w:sz w:val="20"/>
                <w:szCs w:val="20"/>
              </w:rPr>
            </w:pPr>
          </w:p>
        </w:tc>
        <w:tc>
          <w:tcPr>
            <w:tcW w:w="1834" w:type="pct"/>
            <w:shd w:val="clear" w:color="auto" w:fill="auto"/>
            <w:vAlign w:val="center"/>
          </w:tcPr>
          <w:p>
            <w:pPr>
              <w:widowControl/>
              <w:spacing w:line="240" w:lineRule="auto"/>
              <w:jc w:val="center"/>
              <w:textAlignment w:val="center"/>
              <w:rPr>
                <w:rFonts w:asciiTheme="majorEastAsia" w:hAnsiTheme="majorEastAsia" w:eastAsiaTheme="majorEastAsia"/>
                <w:b/>
                <w:color w:val="000000"/>
                <w:sz w:val="20"/>
                <w:szCs w:val="20"/>
              </w:rPr>
            </w:pPr>
            <w:r>
              <w:rPr>
                <w:rFonts w:hint="eastAsia" w:asciiTheme="majorEastAsia" w:hAnsiTheme="majorEastAsia" w:eastAsiaTheme="majorEastAsia"/>
                <w:b/>
                <w:color w:val="000000"/>
                <w:sz w:val="20"/>
                <w:szCs w:val="20"/>
              </w:rPr>
              <w:t>小计</w:t>
            </w:r>
          </w:p>
        </w:tc>
        <w:tc>
          <w:tcPr>
            <w:tcW w:w="432" w:type="pct"/>
            <w:shd w:val="clear" w:color="auto" w:fill="auto"/>
            <w:vAlign w:val="center"/>
          </w:tcPr>
          <w:p>
            <w:pPr>
              <w:widowControl/>
              <w:spacing w:line="240" w:lineRule="auto"/>
              <w:jc w:val="center"/>
              <w:textAlignment w:val="center"/>
              <w:rPr>
                <w:rFonts w:asciiTheme="majorEastAsia" w:hAnsiTheme="majorEastAsia" w:eastAsiaTheme="majorEastAsia"/>
                <w:b/>
                <w:sz w:val="20"/>
                <w:szCs w:val="20"/>
              </w:rPr>
            </w:pPr>
          </w:p>
        </w:tc>
        <w:tc>
          <w:tcPr>
            <w:tcW w:w="548" w:type="pct"/>
            <w:shd w:val="clear" w:color="auto" w:fill="auto"/>
            <w:vAlign w:val="center"/>
          </w:tcPr>
          <w:p>
            <w:pPr>
              <w:spacing w:line="240" w:lineRule="auto"/>
              <w:jc w:val="center"/>
              <w:rPr>
                <w:rFonts w:asciiTheme="majorEastAsia" w:hAnsiTheme="majorEastAsia" w:eastAsiaTheme="majorEastAsia"/>
                <w:b/>
                <w:kern w:val="0"/>
                <w:sz w:val="20"/>
                <w:szCs w:val="20"/>
              </w:rPr>
            </w:pPr>
            <w:r>
              <w:rPr>
                <w:rFonts w:asciiTheme="majorEastAsia" w:hAnsiTheme="majorEastAsia" w:eastAsiaTheme="majorEastAsia"/>
                <w:b/>
                <w:kern w:val="0"/>
                <w:sz w:val="20"/>
                <w:szCs w:val="20"/>
              </w:rPr>
              <w:t>75.95</w:t>
            </w:r>
          </w:p>
        </w:tc>
        <w:tc>
          <w:tcPr>
            <w:tcW w:w="395" w:type="pct"/>
            <w:shd w:val="clear" w:color="auto" w:fill="auto"/>
            <w:vAlign w:val="center"/>
          </w:tcPr>
          <w:p>
            <w:pPr>
              <w:spacing w:line="240" w:lineRule="auto"/>
              <w:jc w:val="center"/>
              <w:rPr>
                <w:rFonts w:asciiTheme="majorEastAsia" w:hAnsiTheme="majorEastAsia" w:eastAsiaTheme="majorEastAsia"/>
                <w:b/>
                <w:color w:val="000000"/>
                <w:sz w:val="20"/>
                <w:szCs w:val="20"/>
              </w:rPr>
            </w:pPr>
          </w:p>
        </w:tc>
        <w:tc>
          <w:tcPr>
            <w:tcW w:w="436" w:type="pct"/>
            <w:shd w:val="clear" w:color="auto" w:fill="auto"/>
            <w:vAlign w:val="center"/>
          </w:tcPr>
          <w:p>
            <w:pPr>
              <w:widowControl/>
              <w:spacing w:line="240" w:lineRule="auto"/>
              <w:jc w:val="center"/>
              <w:textAlignment w:val="center"/>
              <w:rPr>
                <w:rFonts w:asciiTheme="majorEastAsia" w:hAnsiTheme="majorEastAsia" w:eastAsiaTheme="majorEastAsia"/>
                <w:b/>
                <w:color w:val="000000"/>
                <w:sz w:val="20"/>
                <w:szCs w:val="20"/>
              </w:rPr>
            </w:pPr>
          </w:p>
        </w:tc>
        <w:tc>
          <w:tcPr>
            <w:tcW w:w="773" w:type="pct"/>
            <w:shd w:val="clear" w:color="auto" w:fill="auto"/>
            <w:vAlign w:val="center"/>
          </w:tcPr>
          <w:p>
            <w:pPr>
              <w:widowControl/>
              <w:spacing w:line="240" w:lineRule="auto"/>
              <w:jc w:val="center"/>
              <w:textAlignment w:val="center"/>
              <w:rPr>
                <w:rFonts w:asciiTheme="majorEastAsia" w:hAnsiTheme="majorEastAsia" w:eastAsiaTheme="majorEastAsia"/>
                <w:b/>
                <w:sz w:val="20"/>
                <w:szCs w:val="20"/>
              </w:rPr>
            </w:pPr>
            <w:r>
              <w:rPr>
                <w:rFonts w:asciiTheme="majorEastAsia" w:hAnsiTheme="majorEastAsia" w:eastAsiaTheme="majorEastAsia"/>
                <w:b/>
                <w:sz w:val="20"/>
                <w:szCs w:val="20"/>
              </w:rPr>
              <w:t>11.30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91" w:type="pct"/>
            <w:vMerge w:val="restart"/>
            <w:vAlign w:val="center"/>
          </w:tcPr>
          <w:p>
            <w:pPr>
              <w:widowControl/>
              <w:spacing w:line="240" w:lineRule="auto"/>
              <w:jc w:val="center"/>
              <w:textAlignment w:val="center"/>
              <w:rPr>
                <w:rFonts w:asciiTheme="majorEastAsia" w:hAnsiTheme="majorEastAsia" w:eastAsiaTheme="majorEastAsia"/>
                <w:b/>
                <w:bCs/>
                <w:kern w:val="0"/>
                <w:sz w:val="20"/>
                <w:szCs w:val="20"/>
              </w:rPr>
            </w:pPr>
          </w:p>
          <w:p>
            <w:pPr>
              <w:widowControl/>
              <w:spacing w:line="240" w:lineRule="auto"/>
              <w:jc w:val="center"/>
              <w:textAlignment w:val="center"/>
              <w:rPr>
                <w:rFonts w:asciiTheme="majorEastAsia" w:hAnsiTheme="majorEastAsia" w:eastAsiaTheme="majorEastAsia"/>
                <w:b/>
                <w:bCs/>
                <w:kern w:val="0"/>
                <w:sz w:val="20"/>
                <w:szCs w:val="20"/>
              </w:rPr>
            </w:pPr>
            <w:r>
              <w:rPr>
                <w:rFonts w:hint="eastAsia" w:asciiTheme="majorEastAsia" w:hAnsiTheme="majorEastAsia" w:eastAsiaTheme="majorEastAsia"/>
                <w:b/>
                <w:bCs/>
                <w:kern w:val="0"/>
                <w:sz w:val="20"/>
                <w:szCs w:val="20"/>
              </w:rPr>
              <w:t>在建项目</w:t>
            </w:r>
          </w:p>
          <w:p>
            <w:pPr>
              <w:widowControl/>
              <w:spacing w:line="240" w:lineRule="auto"/>
              <w:jc w:val="center"/>
              <w:textAlignment w:val="center"/>
              <w:rPr>
                <w:rFonts w:asciiTheme="majorEastAsia" w:hAnsiTheme="majorEastAsia" w:eastAsiaTheme="majorEastAsia"/>
                <w:b/>
                <w:bCs/>
                <w:kern w:val="0"/>
                <w:sz w:val="20"/>
                <w:szCs w:val="20"/>
              </w:rPr>
            </w:pPr>
          </w:p>
          <w:p>
            <w:pPr>
              <w:widowControl/>
              <w:spacing w:line="240" w:lineRule="auto"/>
              <w:jc w:val="center"/>
              <w:textAlignment w:val="center"/>
              <w:rPr>
                <w:rFonts w:asciiTheme="majorEastAsia" w:hAnsiTheme="majorEastAsia" w:eastAsiaTheme="majorEastAsia"/>
                <w:b/>
                <w:bCs/>
                <w:kern w:val="0"/>
                <w:sz w:val="20"/>
                <w:szCs w:val="20"/>
              </w:rPr>
            </w:pPr>
          </w:p>
          <w:p>
            <w:pPr>
              <w:widowControl/>
              <w:spacing w:line="240" w:lineRule="auto"/>
              <w:jc w:val="center"/>
              <w:textAlignment w:val="center"/>
              <w:rPr>
                <w:rFonts w:asciiTheme="majorEastAsia" w:hAnsiTheme="majorEastAsia" w:eastAsiaTheme="majorEastAsia"/>
                <w:b/>
                <w:bCs/>
                <w:kern w:val="0"/>
                <w:sz w:val="20"/>
                <w:szCs w:val="20"/>
              </w:rPr>
            </w:pPr>
          </w:p>
        </w:tc>
        <w:tc>
          <w:tcPr>
            <w:tcW w:w="291" w:type="pct"/>
            <w:vAlign w:val="center"/>
          </w:tcPr>
          <w:p>
            <w:pPr>
              <w:widowControl/>
              <w:spacing w:line="240" w:lineRule="auto"/>
              <w:jc w:val="center"/>
              <w:textAlignment w:val="center"/>
              <w:rPr>
                <w:rFonts w:asciiTheme="majorEastAsia" w:hAnsiTheme="majorEastAsia" w:eastAsiaTheme="majorEastAsia"/>
                <w:bCs/>
                <w:kern w:val="0"/>
                <w:sz w:val="20"/>
                <w:szCs w:val="20"/>
              </w:rPr>
            </w:pPr>
            <w:r>
              <w:rPr>
                <w:rFonts w:hint="eastAsia" w:asciiTheme="majorEastAsia" w:hAnsiTheme="majorEastAsia" w:eastAsiaTheme="majorEastAsia"/>
                <w:bCs/>
                <w:kern w:val="0"/>
                <w:sz w:val="20"/>
                <w:szCs w:val="20"/>
              </w:rPr>
              <w:t>1</w:t>
            </w:r>
          </w:p>
        </w:tc>
        <w:tc>
          <w:tcPr>
            <w:tcW w:w="1834" w:type="pct"/>
            <w:shd w:val="clear" w:color="auto" w:fill="auto"/>
            <w:vAlign w:val="center"/>
          </w:tcPr>
          <w:p>
            <w:pPr>
              <w:widowControl/>
              <w:spacing w:line="240" w:lineRule="auto"/>
              <w:jc w:val="center"/>
              <w:textAlignment w:val="center"/>
              <w:rPr>
                <w:rFonts w:asciiTheme="majorEastAsia" w:hAnsiTheme="majorEastAsia" w:eastAsiaTheme="majorEastAsia"/>
                <w:color w:val="000000"/>
                <w:sz w:val="20"/>
                <w:szCs w:val="20"/>
              </w:rPr>
            </w:pPr>
            <w:r>
              <w:rPr>
                <w:rFonts w:hint="eastAsia" w:asciiTheme="majorEastAsia" w:hAnsiTheme="majorEastAsia" w:eastAsiaTheme="majorEastAsia"/>
                <w:color w:val="000000"/>
                <w:sz w:val="20"/>
                <w:szCs w:val="20"/>
              </w:rPr>
              <w:t>水城龙场至顺场公路</w:t>
            </w:r>
          </w:p>
        </w:tc>
        <w:tc>
          <w:tcPr>
            <w:tcW w:w="432"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p>
        </w:tc>
        <w:tc>
          <w:tcPr>
            <w:tcW w:w="548" w:type="pct"/>
            <w:shd w:val="clear" w:color="auto" w:fill="auto"/>
            <w:vAlign w:val="center"/>
          </w:tcPr>
          <w:p>
            <w:pPr>
              <w:spacing w:line="240" w:lineRule="auto"/>
              <w:jc w:val="center"/>
              <w:rPr>
                <w:rFonts w:asciiTheme="majorEastAsia" w:hAnsiTheme="majorEastAsia" w:eastAsiaTheme="majorEastAsia"/>
                <w:kern w:val="0"/>
                <w:sz w:val="20"/>
                <w:szCs w:val="20"/>
              </w:rPr>
            </w:pPr>
            <w:r>
              <w:rPr>
                <w:rFonts w:hint="eastAsia" w:asciiTheme="majorEastAsia" w:hAnsiTheme="majorEastAsia" w:eastAsiaTheme="majorEastAsia"/>
                <w:kern w:val="0"/>
                <w:sz w:val="20"/>
                <w:szCs w:val="20"/>
              </w:rPr>
              <w:t>10.5</w:t>
            </w:r>
          </w:p>
        </w:tc>
        <w:tc>
          <w:tcPr>
            <w:tcW w:w="395" w:type="pct"/>
            <w:shd w:val="clear" w:color="auto" w:fill="auto"/>
            <w:vAlign w:val="center"/>
          </w:tcPr>
          <w:p>
            <w:pPr>
              <w:spacing w:line="240" w:lineRule="auto"/>
              <w:jc w:val="center"/>
              <w:rPr>
                <w:rFonts w:asciiTheme="majorEastAsia" w:hAnsiTheme="majorEastAsia" w:eastAsiaTheme="majorEastAsia"/>
                <w:color w:val="000000"/>
                <w:sz w:val="20"/>
                <w:szCs w:val="20"/>
              </w:rPr>
            </w:pPr>
            <w:r>
              <w:rPr>
                <w:rFonts w:hint="eastAsia" w:asciiTheme="majorEastAsia" w:hAnsiTheme="majorEastAsia" w:eastAsiaTheme="majorEastAsia"/>
                <w:color w:val="000000"/>
                <w:sz w:val="20"/>
                <w:szCs w:val="20"/>
              </w:rPr>
              <w:t>2</w:t>
            </w:r>
            <w:r>
              <w:rPr>
                <w:rFonts w:asciiTheme="majorEastAsia" w:hAnsiTheme="majorEastAsia" w:eastAsiaTheme="majorEastAsia"/>
                <w:color w:val="000000"/>
                <w:sz w:val="20"/>
                <w:szCs w:val="20"/>
              </w:rPr>
              <w:t>017</w:t>
            </w:r>
          </w:p>
        </w:tc>
        <w:tc>
          <w:tcPr>
            <w:tcW w:w="436" w:type="pct"/>
            <w:shd w:val="clear" w:color="auto" w:fill="auto"/>
            <w:vAlign w:val="center"/>
          </w:tcPr>
          <w:p>
            <w:pPr>
              <w:widowControl/>
              <w:spacing w:line="240" w:lineRule="auto"/>
              <w:jc w:val="center"/>
              <w:textAlignment w:val="center"/>
              <w:rPr>
                <w:rFonts w:asciiTheme="majorEastAsia" w:hAnsiTheme="majorEastAsia" w:eastAsiaTheme="majorEastAsia"/>
                <w:color w:val="000000"/>
                <w:sz w:val="20"/>
                <w:szCs w:val="20"/>
              </w:rPr>
            </w:pPr>
            <w:r>
              <w:rPr>
                <w:rFonts w:hint="eastAsia" w:asciiTheme="majorEastAsia" w:hAnsiTheme="majorEastAsia" w:eastAsiaTheme="majorEastAsia"/>
                <w:color w:val="000000"/>
                <w:sz w:val="20"/>
                <w:szCs w:val="20"/>
              </w:rPr>
              <w:t>2</w:t>
            </w:r>
            <w:r>
              <w:rPr>
                <w:rFonts w:asciiTheme="majorEastAsia" w:hAnsiTheme="majorEastAsia" w:eastAsiaTheme="majorEastAsia"/>
                <w:color w:val="000000"/>
                <w:sz w:val="20"/>
                <w:szCs w:val="20"/>
              </w:rPr>
              <w:t>021</w:t>
            </w:r>
          </w:p>
        </w:tc>
        <w:tc>
          <w:tcPr>
            <w:tcW w:w="773"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91" w:type="pct"/>
            <w:vMerge w:val="continue"/>
          </w:tcPr>
          <w:p>
            <w:pPr>
              <w:widowControl/>
              <w:spacing w:line="240" w:lineRule="auto"/>
              <w:jc w:val="center"/>
              <w:textAlignment w:val="center"/>
              <w:rPr>
                <w:rFonts w:asciiTheme="majorEastAsia" w:hAnsiTheme="majorEastAsia" w:eastAsiaTheme="majorEastAsia"/>
                <w:bCs/>
                <w:kern w:val="0"/>
                <w:sz w:val="20"/>
                <w:szCs w:val="20"/>
              </w:rPr>
            </w:pPr>
          </w:p>
        </w:tc>
        <w:tc>
          <w:tcPr>
            <w:tcW w:w="291" w:type="pct"/>
            <w:vAlign w:val="center"/>
          </w:tcPr>
          <w:p>
            <w:pPr>
              <w:widowControl/>
              <w:spacing w:line="240" w:lineRule="auto"/>
              <w:jc w:val="center"/>
              <w:textAlignment w:val="center"/>
              <w:rPr>
                <w:rFonts w:asciiTheme="majorEastAsia" w:hAnsiTheme="majorEastAsia" w:eastAsiaTheme="majorEastAsia"/>
                <w:bCs/>
                <w:kern w:val="0"/>
                <w:sz w:val="20"/>
                <w:szCs w:val="20"/>
              </w:rPr>
            </w:pPr>
            <w:r>
              <w:rPr>
                <w:rFonts w:hint="eastAsia" w:asciiTheme="majorEastAsia" w:hAnsiTheme="majorEastAsia" w:eastAsiaTheme="majorEastAsia"/>
                <w:bCs/>
                <w:kern w:val="0"/>
                <w:sz w:val="20"/>
                <w:szCs w:val="20"/>
              </w:rPr>
              <w:t>2</w:t>
            </w:r>
          </w:p>
        </w:tc>
        <w:tc>
          <w:tcPr>
            <w:tcW w:w="1834" w:type="pct"/>
            <w:shd w:val="clear" w:color="auto" w:fill="auto"/>
            <w:vAlign w:val="center"/>
          </w:tcPr>
          <w:p>
            <w:pPr>
              <w:widowControl/>
              <w:spacing w:line="240" w:lineRule="auto"/>
              <w:jc w:val="center"/>
              <w:textAlignment w:val="center"/>
              <w:rPr>
                <w:rFonts w:asciiTheme="majorEastAsia" w:hAnsiTheme="majorEastAsia" w:eastAsiaTheme="majorEastAsia"/>
                <w:color w:val="000000"/>
                <w:sz w:val="20"/>
                <w:szCs w:val="20"/>
              </w:rPr>
            </w:pPr>
            <w:r>
              <w:rPr>
                <w:rFonts w:hint="eastAsia" w:asciiTheme="majorEastAsia" w:hAnsiTheme="majorEastAsia" w:eastAsiaTheme="majorEastAsia"/>
                <w:color w:val="000000"/>
                <w:sz w:val="20"/>
                <w:szCs w:val="20"/>
              </w:rPr>
              <w:t>水城常明至果布戛公路</w:t>
            </w:r>
          </w:p>
        </w:tc>
        <w:tc>
          <w:tcPr>
            <w:tcW w:w="432"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p>
        </w:tc>
        <w:tc>
          <w:tcPr>
            <w:tcW w:w="548" w:type="pct"/>
            <w:shd w:val="clear" w:color="auto" w:fill="auto"/>
            <w:vAlign w:val="center"/>
          </w:tcPr>
          <w:p>
            <w:pPr>
              <w:spacing w:line="240" w:lineRule="auto"/>
              <w:jc w:val="center"/>
              <w:rPr>
                <w:rFonts w:asciiTheme="majorEastAsia" w:hAnsiTheme="majorEastAsia" w:eastAsiaTheme="majorEastAsia"/>
                <w:kern w:val="0"/>
                <w:sz w:val="20"/>
                <w:szCs w:val="20"/>
              </w:rPr>
            </w:pPr>
            <w:r>
              <w:rPr>
                <w:rFonts w:hint="eastAsia" w:asciiTheme="majorEastAsia" w:hAnsiTheme="majorEastAsia" w:eastAsiaTheme="majorEastAsia"/>
                <w:kern w:val="0"/>
                <w:sz w:val="20"/>
                <w:szCs w:val="20"/>
              </w:rPr>
              <w:t>6.47</w:t>
            </w:r>
          </w:p>
        </w:tc>
        <w:tc>
          <w:tcPr>
            <w:tcW w:w="395" w:type="pct"/>
            <w:shd w:val="clear" w:color="auto" w:fill="auto"/>
            <w:vAlign w:val="center"/>
          </w:tcPr>
          <w:p>
            <w:pPr>
              <w:spacing w:line="240" w:lineRule="auto"/>
              <w:jc w:val="center"/>
              <w:rPr>
                <w:rFonts w:asciiTheme="majorEastAsia" w:hAnsiTheme="majorEastAsia" w:eastAsiaTheme="majorEastAsia"/>
                <w:color w:val="000000"/>
                <w:sz w:val="20"/>
                <w:szCs w:val="20"/>
              </w:rPr>
            </w:pPr>
            <w:r>
              <w:rPr>
                <w:rFonts w:hint="eastAsia" w:asciiTheme="majorEastAsia" w:hAnsiTheme="majorEastAsia" w:eastAsiaTheme="majorEastAsia"/>
                <w:color w:val="000000"/>
                <w:sz w:val="20"/>
                <w:szCs w:val="20"/>
              </w:rPr>
              <w:t>2017</w:t>
            </w:r>
          </w:p>
        </w:tc>
        <w:tc>
          <w:tcPr>
            <w:tcW w:w="436" w:type="pct"/>
            <w:shd w:val="clear" w:color="auto" w:fill="auto"/>
            <w:vAlign w:val="center"/>
          </w:tcPr>
          <w:p>
            <w:pPr>
              <w:widowControl/>
              <w:spacing w:line="240" w:lineRule="auto"/>
              <w:jc w:val="center"/>
              <w:textAlignment w:val="center"/>
              <w:rPr>
                <w:rFonts w:asciiTheme="majorEastAsia" w:hAnsiTheme="majorEastAsia" w:eastAsiaTheme="majorEastAsia"/>
                <w:color w:val="000000"/>
                <w:sz w:val="20"/>
                <w:szCs w:val="20"/>
              </w:rPr>
            </w:pPr>
            <w:r>
              <w:rPr>
                <w:rFonts w:hint="eastAsia" w:asciiTheme="majorEastAsia" w:hAnsiTheme="majorEastAsia" w:eastAsiaTheme="majorEastAsia"/>
                <w:color w:val="000000"/>
                <w:sz w:val="20"/>
                <w:szCs w:val="20"/>
              </w:rPr>
              <w:t>2021</w:t>
            </w:r>
          </w:p>
        </w:tc>
        <w:tc>
          <w:tcPr>
            <w:tcW w:w="773"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91" w:type="pct"/>
            <w:vMerge w:val="continue"/>
          </w:tcPr>
          <w:p>
            <w:pPr>
              <w:widowControl/>
              <w:spacing w:line="240" w:lineRule="auto"/>
              <w:jc w:val="center"/>
              <w:textAlignment w:val="center"/>
              <w:rPr>
                <w:rFonts w:asciiTheme="majorEastAsia" w:hAnsiTheme="majorEastAsia" w:eastAsiaTheme="majorEastAsia"/>
                <w:bCs/>
                <w:kern w:val="0"/>
                <w:sz w:val="20"/>
                <w:szCs w:val="20"/>
              </w:rPr>
            </w:pPr>
          </w:p>
        </w:tc>
        <w:tc>
          <w:tcPr>
            <w:tcW w:w="291" w:type="pct"/>
            <w:vAlign w:val="center"/>
          </w:tcPr>
          <w:p>
            <w:pPr>
              <w:widowControl/>
              <w:spacing w:line="240" w:lineRule="auto"/>
              <w:jc w:val="center"/>
              <w:textAlignment w:val="center"/>
              <w:rPr>
                <w:rFonts w:asciiTheme="majorEastAsia" w:hAnsiTheme="majorEastAsia" w:eastAsiaTheme="majorEastAsia"/>
                <w:bCs/>
                <w:kern w:val="0"/>
                <w:sz w:val="20"/>
                <w:szCs w:val="20"/>
              </w:rPr>
            </w:pPr>
            <w:r>
              <w:rPr>
                <w:rFonts w:hint="eastAsia" w:asciiTheme="majorEastAsia" w:hAnsiTheme="majorEastAsia" w:eastAsiaTheme="majorEastAsia"/>
                <w:bCs/>
                <w:kern w:val="0"/>
                <w:sz w:val="20"/>
                <w:szCs w:val="20"/>
              </w:rPr>
              <w:t>3</w:t>
            </w:r>
          </w:p>
        </w:tc>
        <w:tc>
          <w:tcPr>
            <w:tcW w:w="1834" w:type="pct"/>
            <w:shd w:val="clear" w:color="auto" w:fill="auto"/>
            <w:vAlign w:val="center"/>
          </w:tcPr>
          <w:p>
            <w:pPr>
              <w:widowControl/>
              <w:spacing w:line="240" w:lineRule="auto"/>
              <w:jc w:val="center"/>
              <w:textAlignment w:val="center"/>
              <w:rPr>
                <w:rFonts w:asciiTheme="majorEastAsia" w:hAnsiTheme="majorEastAsia" w:eastAsiaTheme="majorEastAsia"/>
                <w:color w:val="000000"/>
                <w:sz w:val="20"/>
                <w:szCs w:val="20"/>
              </w:rPr>
            </w:pPr>
            <w:r>
              <w:rPr>
                <w:rFonts w:hint="eastAsia" w:asciiTheme="majorEastAsia" w:hAnsiTheme="majorEastAsia" w:eastAsiaTheme="majorEastAsia"/>
                <w:color w:val="000000"/>
                <w:sz w:val="20"/>
                <w:szCs w:val="20"/>
              </w:rPr>
              <w:t>水城都格至发耳公路</w:t>
            </w:r>
          </w:p>
        </w:tc>
        <w:tc>
          <w:tcPr>
            <w:tcW w:w="432"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p>
        </w:tc>
        <w:tc>
          <w:tcPr>
            <w:tcW w:w="548" w:type="pct"/>
            <w:shd w:val="clear" w:color="auto" w:fill="auto"/>
            <w:vAlign w:val="center"/>
          </w:tcPr>
          <w:p>
            <w:pPr>
              <w:spacing w:line="240" w:lineRule="auto"/>
              <w:jc w:val="center"/>
              <w:rPr>
                <w:rFonts w:asciiTheme="majorEastAsia" w:hAnsiTheme="majorEastAsia" w:eastAsiaTheme="majorEastAsia"/>
                <w:kern w:val="0"/>
                <w:sz w:val="20"/>
                <w:szCs w:val="20"/>
              </w:rPr>
            </w:pPr>
            <w:r>
              <w:rPr>
                <w:rFonts w:hint="eastAsia" w:asciiTheme="majorEastAsia" w:hAnsiTheme="majorEastAsia" w:eastAsiaTheme="majorEastAsia"/>
                <w:kern w:val="0"/>
                <w:sz w:val="20"/>
                <w:szCs w:val="20"/>
              </w:rPr>
              <w:t>15.3</w:t>
            </w:r>
          </w:p>
        </w:tc>
        <w:tc>
          <w:tcPr>
            <w:tcW w:w="395" w:type="pct"/>
            <w:shd w:val="clear" w:color="auto" w:fill="auto"/>
            <w:vAlign w:val="center"/>
          </w:tcPr>
          <w:p>
            <w:pPr>
              <w:spacing w:line="240" w:lineRule="auto"/>
              <w:jc w:val="center"/>
              <w:rPr>
                <w:rFonts w:asciiTheme="majorEastAsia" w:hAnsiTheme="majorEastAsia" w:eastAsiaTheme="majorEastAsia"/>
                <w:color w:val="000000"/>
                <w:sz w:val="20"/>
                <w:szCs w:val="20"/>
              </w:rPr>
            </w:pPr>
            <w:r>
              <w:rPr>
                <w:rFonts w:hint="eastAsia" w:asciiTheme="majorEastAsia" w:hAnsiTheme="majorEastAsia" w:eastAsiaTheme="majorEastAsia"/>
                <w:color w:val="000000"/>
                <w:sz w:val="20"/>
                <w:szCs w:val="20"/>
              </w:rPr>
              <w:t>2017</w:t>
            </w:r>
          </w:p>
        </w:tc>
        <w:tc>
          <w:tcPr>
            <w:tcW w:w="436" w:type="pct"/>
            <w:shd w:val="clear" w:color="auto" w:fill="auto"/>
            <w:vAlign w:val="center"/>
          </w:tcPr>
          <w:p>
            <w:pPr>
              <w:widowControl/>
              <w:spacing w:line="240" w:lineRule="auto"/>
              <w:jc w:val="center"/>
              <w:textAlignment w:val="center"/>
              <w:rPr>
                <w:rFonts w:asciiTheme="majorEastAsia" w:hAnsiTheme="majorEastAsia" w:eastAsiaTheme="majorEastAsia"/>
                <w:color w:val="000000"/>
                <w:sz w:val="20"/>
                <w:szCs w:val="20"/>
              </w:rPr>
            </w:pPr>
            <w:r>
              <w:rPr>
                <w:rFonts w:hint="eastAsia" w:asciiTheme="majorEastAsia" w:hAnsiTheme="majorEastAsia" w:eastAsiaTheme="majorEastAsia"/>
                <w:color w:val="000000"/>
                <w:sz w:val="20"/>
                <w:szCs w:val="20"/>
              </w:rPr>
              <w:t>202</w:t>
            </w:r>
            <w:r>
              <w:rPr>
                <w:rFonts w:asciiTheme="majorEastAsia" w:hAnsiTheme="majorEastAsia" w:eastAsiaTheme="majorEastAsia"/>
                <w:color w:val="000000"/>
                <w:sz w:val="20"/>
                <w:szCs w:val="20"/>
              </w:rPr>
              <w:t>2</w:t>
            </w:r>
          </w:p>
        </w:tc>
        <w:tc>
          <w:tcPr>
            <w:tcW w:w="773"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91" w:type="pct"/>
            <w:vMerge w:val="continue"/>
          </w:tcPr>
          <w:p>
            <w:pPr>
              <w:widowControl/>
              <w:spacing w:line="240" w:lineRule="auto"/>
              <w:jc w:val="center"/>
              <w:textAlignment w:val="center"/>
              <w:rPr>
                <w:rFonts w:asciiTheme="majorEastAsia" w:hAnsiTheme="majorEastAsia" w:eastAsiaTheme="majorEastAsia"/>
                <w:bCs/>
                <w:kern w:val="0"/>
                <w:sz w:val="20"/>
                <w:szCs w:val="20"/>
              </w:rPr>
            </w:pPr>
          </w:p>
        </w:tc>
        <w:tc>
          <w:tcPr>
            <w:tcW w:w="291" w:type="pct"/>
            <w:vAlign w:val="center"/>
          </w:tcPr>
          <w:p>
            <w:pPr>
              <w:widowControl/>
              <w:spacing w:line="240" w:lineRule="auto"/>
              <w:jc w:val="center"/>
              <w:textAlignment w:val="center"/>
              <w:rPr>
                <w:rFonts w:asciiTheme="majorEastAsia" w:hAnsiTheme="majorEastAsia" w:eastAsiaTheme="majorEastAsia"/>
                <w:bCs/>
                <w:kern w:val="0"/>
                <w:sz w:val="20"/>
                <w:szCs w:val="20"/>
              </w:rPr>
            </w:pPr>
            <w:r>
              <w:rPr>
                <w:rFonts w:hint="eastAsia" w:asciiTheme="majorEastAsia" w:hAnsiTheme="majorEastAsia" w:eastAsiaTheme="majorEastAsia"/>
                <w:bCs/>
                <w:kern w:val="0"/>
                <w:sz w:val="20"/>
                <w:szCs w:val="20"/>
              </w:rPr>
              <w:t>4</w:t>
            </w:r>
          </w:p>
        </w:tc>
        <w:tc>
          <w:tcPr>
            <w:tcW w:w="1834" w:type="pct"/>
            <w:shd w:val="clear" w:color="auto" w:fill="auto"/>
            <w:vAlign w:val="center"/>
          </w:tcPr>
          <w:p>
            <w:pPr>
              <w:widowControl/>
              <w:spacing w:line="240" w:lineRule="auto"/>
              <w:jc w:val="center"/>
              <w:textAlignment w:val="center"/>
              <w:rPr>
                <w:rFonts w:asciiTheme="majorEastAsia" w:hAnsiTheme="majorEastAsia" w:eastAsiaTheme="majorEastAsia"/>
                <w:color w:val="000000"/>
                <w:sz w:val="20"/>
                <w:szCs w:val="20"/>
              </w:rPr>
            </w:pPr>
            <w:r>
              <w:rPr>
                <w:rFonts w:hint="eastAsia" w:asciiTheme="majorEastAsia" w:hAnsiTheme="majorEastAsia" w:eastAsiaTheme="majorEastAsia"/>
                <w:color w:val="000000"/>
                <w:sz w:val="20"/>
                <w:szCs w:val="20"/>
              </w:rPr>
              <w:t>水城鸡场至营盘公路</w:t>
            </w:r>
          </w:p>
        </w:tc>
        <w:tc>
          <w:tcPr>
            <w:tcW w:w="432"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p>
        </w:tc>
        <w:tc>
          <w:tcPr>
            <w:tcW w:w="548" w:type="pct"/>
            <w:shd w:val="clear" w:color="auto" w:fill="auto"/>
            <w:vAlign w:val="center"/>
          </w:tcPr>
          <w:p>
            <w:pPr>
              <w:spacing w:line="240" w:lineRule="auto"/>
              <w:jc w:val="center"/>
              <w:rPr>
                <w:rFonts w:asciiTheme="majorEastAsia" w:hAnsiTheme="majorEastAsia" w:eastAsiaTheme="majorEastAsia"/>
                <w:kern w:val="0"/>
                <w:sz w:val="20"/>
                <w:szCs w:val="20"/>
              </w:rPr>
            </w:pPr>
            <w:r>
              <w:rPr>
                <w:rFonts w:hint="eastAsia" w:asciiTheme="majorEastAsia" w:hAnsiTheme="majorEastAsia" w:eastAsiaTheme="majorEastAsia"/>
                <w:kern w:val="0"/>
                <w:sz w:val="20"/>
                <w:szCs w:val="20"/>
              </w:rPr>
              <w:t>32.27</w:t>
            </w:r>
          </w:p>
        </w:tc>
        <w:tc>
          <w:tcPr>
            <w:tcW w:w="395" w:type="pct"/>
            <w:shd w:val="clear" w:color="auto" w:fill="auto"/>
            <w:vAlign w:val="center"/>
          </w:tcPr>
          <w:p>
            <w:pPr>
              <w:spacing w:line="240" w:lineRule="auto"/>
              <w:jc w:val="center"/>
              <w:rPr>
                <w:rFonts w:asciiTheme="majorEastAsia" w:hAnsiTheme="majorEastAsia" w:eastAsiaTheme="majorEastAsia"/>
                <w:color w:val="000000"/>
                <w:sz w:val="20"/>
                <w:szCs w:val="20"/>
              </w:rPr>
            </w:pPr>
            <w:r>
              <w:rPr>
                <w:rFonts w:hint="eastAsia" w:asciiTheme="majorEastAsia" w:hAnsiTheme="majorEastAsia" w:eastAsiaTheme="majorEastAsia"/>
                <w:color w:val="000000"/>
                <w:sz w:val="20"/>
                <w:szCs w:val="20"/>
              </w:rPr>
              <w:t>2017</w:t>
            </w:r>
          </w:p>
        </w:tc>
        <w:tc>
          <w:tcPr>
            <w:tcW w:w="436" w:type="pct"/>
            <w:shd w:val="clear" w:color="auto" w:fill="auto"/>
            <w:vAlign w:val="center"/>
          </w:tcPr>
          <w:p>
            <w:pPr>
              <w:widowControl/>
              <w:spacing w:line="240" w:lineRule="auto"/>
              <w:jc w:val="center"/>
              <w:textAlignment w:val="center"/>
              <w:rPr>
                <w:rFonts w:asciiTheme="majorEastAsia" w:hAnsiTheme="majorEastAsia" w:eastAsiaTheme="majorEastAsia"/>
                <w:color w:val="000000"/>
                <w:sz w:val="20"/>
                <w:szCs w:val="20"/>
              </w:rPr>
            </w:pPr>
            <w:r>
              <w:rPr>
                <w:rFonts w:hint="eastAsia" w:asciiTheme="majorEastAsia" w:hAnsiTheme="majorEastAsia" w:eastAsiaTheme="majorEastAsia"/>
                <w:color w:val="000000"/>
                <w:sz w:val="20"/>
                <w:szCs w:val="20"/>
              </w:rPr>
              <w:t>2021</w:t>
            </w:r>
          </w:p>
        </w:tc>
        <w:tc>
          <w:tcPr>
            <w:tcW w:w="773"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91" w:type="pct"/>
            <w:vMerge w:val="continue"/>
          </w:tcPr>
          <w:p>
            <w:pPr>
              <w:widowControl/>
              <w:spacing w:line="240" w:lineRule="auto"/>
              <w:jc w:val="center"/>
              <w:textAlignment w:val="center"/>
              <w:rPr>
                <w:rFonts w:asciiTheme="majorEastAsia" w:hAnsiTheme="majorEastAsia" w:eastAsiaTheme="majorEastAsia"/>
                <w:bCs/>
                <w:kern w:val="0"/>
                <w:sz w:val="20"/>
                <w:szCs w:val="20"/>
              </w:rPr>
            </w:pPr>
          </w:p>
        </w:tc>
        <w:tc>
          <w:tcPr>
            <w:tcW w:w="291" w:type="pct"/>
            <w:vAlign w:val="center"/>
          </w:tcPr>
          <w:p>
            <w:pPr>
              <w:widowControl/>
              <w:spacing w:line="240" w:lineRule="auto"/>
              <w:jc w:val="center"/>
              <w:textAlignment w:val="center"/>
              <w:rPr>
                <w:rFonts w:asciiTheme="majorEastAsia" w:hAnsiTheme="majorEastAsia" w:eastAsiaTheme="majorEastAsia"/>
                <w:bCs/>
                <w:kern w:val="0"/>
                <w:sz w:val="20"/>
                <w:szCs w:val="20"/>
              </w:rPr>
            </w:pPr>
            <w:r>
              <w:rPr>
                <w:rFonts w:hint="eastAsia" w:asciiTheme="majorEastAsia" w:hAnsiTheme="majorEastAsia" w:eastAsiaTheme="majorEastAsia"/>
                <w:bCs/>
                <w:kern w:val="0"/>
                <w:sz w:val="20"/>
                <w:szCs w:val="20"/>
              </w:rPr>
              <w:t>5</w:t>
            </w:r>
          </w:p>
        </w:tc>
        <w:tc>
          <w:tcPr>
            <w:tcW w:w="1834" w:type="pct"/>
            <w:shd w:val="clear" w:color="auto" w:fill="auto"/>
            <w:vAlign w:val="center"/>
          </w:tcPr>
          <w:p>
            <w:pPr>
              <w:widowControl/>
              <w:spacing w:line="240" w:lineRule="auto"/>
              <w:jc w:val="center"/>
              <w:textAlignment w:val="center"/>
              <w:rPr>
                <w:rFonts w:asciiTheme="majorEastAsia" w:hAnsiTheme="majorEastAsia" w:eastAsiaTheme="majorEastAsia"/>
                <w:color w:val="000000"/>
                <w:sz w:val="20"/>
                <w:szCs w:val="20"/>
              </w:rPr>
            </w:pPr>
            <w:r>
              <w:rPr>
                <w:rFonts w:hint="eastAsia" w:asciiTheme="majorEastAsia" w:hAnsiTheme="majorEastAsia" w:eastAsiaTheme="majorEastAsia"/>
                <w:color w:val="000000"/>
                <w:sz w:val="20"/>
                <w:szCs w:val="20"/>
              </w:rPr>
              <w:t>水城陡箐互通至化乐公路</w:t>
            </w:r>
          </w:p>
        </w:tc>
        <w:tc>
          <w:tcPr>
            <w:tcW w:w="432"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p>
        </w:tc>
        <w:tc>
          <w:tcPr>
            <w:tcW w:w="548" w:type="pct"/>
            <w:shd w:val="clear" w:color="auto" w:fill="auto"/>
            <w:vAlign w:val="center"/>
          </w:tcPr>
          <w:p>
            <w:pPr>
              <w:spacing w:line="240" w:lineRule="auto"/>
              <w:jc w:val="center"/>
              <w:rPr>
                <w:rFonts w:asciiTheme="majorEastAsia" w:hAnsiTheme="majorEastAsia" w:eastAsiaTheme="majorEastAsia"/>
                <w:kern w:val="0"/>
                <w:sz w:val="20"/>
                <w:szCs w:val="20"/>
              </w:rPr>
            </w:pPr>
            <w:r>
              <w:rPr>
                <w:rFonts w:hint="eastAsia" w:asciiTheme="majorEastAsia" w:hAnsiTheme="majorEastAsia" w:eastAsiaTheme="majorEastAsia"/>
                <w:kern w:val="0"/>
                <w:sz w:val="20"/>
                <w:szCs w:val="20"/>
              </w:rPr>
              <w:t>10.2</w:t>
            </w:r>
          </w:p>
        </w:tc>
        <w:tc>
          <w:tcPr>
            <w:tcW w:w="395" w:type="pct"/>
            <w:shd w:val="clear" w:color="auto" w:fill="auto"/>
            <w:vAlign w:val="center"/>
          </w:tcPr>
          <w:p>
            <w:pPr>
              <w:spacing w:line="240" w:lineRule="auto"/>
              <w:jc w:val="center"/>
              <w:rPr>
                <w:rFonts w:asciiTheme="majorEastAsia" w:hAnsiTheme="majorEastAsia" w:eastAsiaTheme="majorEastAsia"/>
                <w:color w:val="000000"/>
                <w:sz w:val="20"/>
                <w:szCs w:val="20"/>
              </w:rPr>
            </w:pPr>
            <w:r>
              <w:rPr>
                <w:rFonts w:hint="eastAsia" w:asciiTheme="majorEastAsia" w:hAnsiTheme="majorEastAsia" w:eastAsiaTheme="majorEastAsia"/>
                <w:color w:val="000000"/>
                <w:sz w:val="20"/>
                <w:szCs w:val="20"/>
              </w:rPr>
              <w:t>2017</w:t>
            </w:r>
          </w:p>
        </w:tc>
        <w:tc>
          <w:tcPr>
            <w:tcW w:w="436" w:type="pct"/>
            <w:shd w:val="clear" w:color="auto" w:fill="auto"/>
            <w:vAlign w:val="center"/>
          </w:tcPr>
          <w:p>
            <w:pPr>
              <w:widowControl/>
              <w:spacing w:line="240" w:lineRule="auto"/>
              <w:jc w:val="center"/>
              <w:textAlignment w:val="center"/>
              <w:rPr>
                <w:rFonts w:asciiTheme="majorEastAsia" w:hAnsiTheme="majorEastAsia" w:eastAsiaTheme="majorEastAsia"/>
                <w:color w:val="000000"/>
                <w:sz w:val="20"/>
                <w:szCs w:val="20"/>
              </w:rPr>
            </w:pPr>
            <w:r>
              <w:rPr>
                <w:rFonts w:hint="eastAsia" w:asciiTheme="majorEastAsia" w:hAnsiTheme="majorEastAsia" w:eastAsiaTheme="majorEastAsia"/>
                <w:color w:val="000000"/>
                <w:sz w:val="20"/>
                <w:szCs w:val="20"/>
              </w:rPr>
              <w:t>2021</w:t>
            </w:r>
          </w:p>
        </w:tc>
        <w:tc>
          <w:tcPr>
            <w:tcW w:w="773"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91" w:type="pct"/>
            <w:vMerge w:val="continue"/>
          </w:tcPr>
          <w:p>
            <w:pPr>
              <w:widowControl/>
              <w:spacing w:line="240" w:lineRule="auto"/>
              <w:jc w:val="center"/>
              <w:textAlignment w:val="center"/>
              <w:rPr>
                <w:rFonts w:asciiTheme="majorEastAsia" w:hAnsiTheme="majorEastAsia" w:eastAsiaTheme="majorEastAsia"/>
                <w:bCs/>
                <w:kern w:val="0"/>
                <w:sz w:val="20"/>
                <w:szCs w:val="20"/>
              </w:rPr>
            </w:pPr>
          </w:p>
        </w:tc>
        <w:tc>
          <w:tcPr>
            <w:tcW w:w="291" w:type="pct"/>
            <w:vAlign w:val="center"/>
          </w:tcPr>
          <w:p>
            <w:pPr>
              <w:widowControl/>
              <w:spacing w:line="240" w:lineRule="auto"/>
              <w:jc w:val="center"/>
              <w:textAlignment w:val="center"/>
              <w:rPr>
                <w:rFonts w:asciiTheme="majorEastAsia" w:hAnsiTheme="majorEastAsia" w:eastAsiaTheme="majorEastAsia"/>
                <w:bCs/>
                <w:kern w:val="0"/>
                <w:sz w:val="20"/>
                <w:szCs w:val="20"/>
              </w:rPr>
            </w:pPr>
            <w:r>
              <w:rPr>
                <w:rFonts w:hint="eastAsia" w:asciiTheme="majorEastAsia" w:hAnsiTheme="majorEastAsia" w:eastAsiaTheme="majorEastAsia"/>
                <w:bCs/>
                <w:kern w:val="0"/>
                <w:sz w:val="20"/>
                <w:szCs w:val="20"/>
              </w:rPr>
              <w:t>6</w:t>
            </w:r>
          </w:p>
        </w:tc>
        <w:tc>
          <w:tcPr>
            <w:tcW w:w="1834" w:type="pct"/>
            <w:shd w:val="clear" w:color="auto" w:fill="auto"/>
            <w:vAlign w:val="center"/>
          </w:tcPr>
          <w:p>
            <w:pPr>
              <w:widowControl/>
              <w:spacing w:line="240" w:lineRule="auto"/>
              <w:jc w:val="center"/>
              <w:textAlignment w:val="center"/>
              <w:rPr>
                <w:rFonts w:asciiTheme="majorEastAsia" w:hAnsiTheme="majorEastAsia" w:eastAsiaTheme="majorEastAsia"/>
                <w:color w:val="000000"/>
                <w:sz w:val="20"/>
                <w:szCs w:val="20"/>
              </w:rPr>
            </w:pPr>
            <w:r>
              <w:rPr>
                <w:rFonts w:hint="eastAsia" w:asciiTheme="majorEastAsia" w:hAnsiTheme="majorEastAsia" w:eastAsiaTheme="majorEastAsia"/>
                <w:color w:val="000000"/>
                <w:sz w:val="20"/>
                <w:szCs w:val="20"/>
              </w:rPr>
              <w:t>六枝林场至新华公路</w:t>
            </w:r>
          </w:p>
        </w:tc>
        <w:tc>
          <w:tcPr>
            <w:tcW w:w="432"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p>
        </w:tc>
        <w:tc>
          <w:tcPr>
            <w:tcW w:w="548" w:type="pct"/>
            <w:shd w:val="clear" w:color="auto" w:fill="auto"/>
            <w:vAlign w:val="center"/>
          </w:tcPr>
          <w:p>
            <w:pPr>
              <w:spacing w:line="240" w:lineRule="auto"/>
              <w:jc w:val="center"/>
              <w:rPr>
                <w:rFonts w:asciiTheme="majorEastAsia" w:hAnsiTheme="majorEastAsia" w:eastAsiaTheme="majorEastAsia"/>
                <w:kern w:val="0"/>
                <w:sz w:val="20"/>
                <w:szCs w:val="20"/>
              </w:rPr>
            </w:pPr>
            <w:r>
              <w:rPr>
                <w:rFonts w:hint="eastAsia" w:asciiTheme="majorEastAsia" w:hAnsiTheme="majorEastAsia" w:eastAsiaTheme="majorEastAsia"/>
                <w:kern w:val="0"/>
                <w:sz w:val="20"/>
                <w:szCs w:val="20"/>
              </w:rPr>
              <w:t>17.28</w:t>
            </w:r>
          </w:p>
        </w:tc>
        <w:tc>
          <w:tcPr>
            <w:tcW w:w="395" w:type="pct"/>
            <w:shd w:val="clear" w:color="auto" w:fill="auto"/>
            <w:vAlign w:val="center"/>
          </w:tcPr>
          <w:p>
            <w:pPr>
              <w:spacing w:line="240" w:lineRule="auto"/>
              <w:jc w:val="center"/>
              <w:rPr>
                <w:rFonts w:asciiTheme="majorEastAsia" w:hAnsiTheme="majorEastAsia" w:eastAsiaTheme="majorEastAsia"/>
                <w:color w:val="000000"/>
                <w:sz w:val="20"/>
                <w:szCs w:val="20"/>
              </w:rPr>
            </w:pPr>
            <w:r>
              <w:rPr>
                <w:rFonts w:hint="eastAsia" w:asciiTheme="majorEastAsia" w:hAnsiTheme="majorEastAsia" w:eastAsiaTheme="majorEastAsia"/>
                <w:color w:val="000000"/>
                <w:sz w:val="20"/>
                <w:szCs w:val="20"/>
              </w:rPr>
              <w:t>2017</w:t>
            </w:r>
          </w:p>
        </w:tc>
        <w:tc>
          <w:tcPr>
            <w:tcW w:w="436" w:type="pct"/>
            <w:shd w:val="clear" w:color="auto" w:fill="auto"/>
            <w:vAlign w:val="center"/>
          </w:tcPr>
          <w:p>
            <w:pPr>
              <w:widowControl/>
              <w:spacing w:line="240" w:lineRule="auto"/>
              <w:jc w:val="center"/>
              <w:textAlignment w:val="center"/>
              <w:rPr>
                <w:rFonts w:asciiTheme="majorEastAsia" w:hAnsiTheme="majorEastAsia" w:eastAsiaTheme="majorEastAsia"/>
                <w:color w:val="000000"/>
                <w:sz w:val="20"/>
                <w:szCs w:val="20"/>
              </w:rPr>
            </w:pPr>
            <w:r>
              <w:rPr>
                <w:rFonts w:hint="eastAsia" w:asciiTheme="majorEastAsia" w:hAnsiTheme="majorEastAsia" w:eastAsiaTheme="majorEastAsia"/>
                <w:color w:val="000000"/>
                <w:sz w:val="20"/>
                <w:szCs w:val="20"/>
              </w:rPr>
              <w:t>2021</w:t>
            </w:r>
          </w:p>
        </w:tc>
        <w:tc>
          <w:tcPr>
            <w:tcW w:w="773"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91" w:type="pct"/>
            <w:vMerge w:val="continue"/>
          </w:tcPr>
          <w:p>
            <w:pPr>
              <w:widowControl/>
              <w:spacing w:line="240" w:lineRule="auto"/>
              <w:jc w:val="center"/>
              <w:textAlignment w:val="center"/>
              <w:rPr>
                <w:rFonts w:asciiTheme="majorEastAsia" w:hAnsiTheme="majorEastAsia" w:eastAsiaTheme="majorEastAsia"/>
                <w:bCs/>
                <w:kern w:val="0"/>
                <w:sz w:val="20"/>
                <w:szCs w:val="20"/>
              </w:rPr>
            </w:pPr>
          </w:p>
        </w:tc>
        <w:tc>
          <w:tcPr>
            <w:tcW w:w="291" w:type="pct"/>
            <w:vAlign w:val="center"/>
          </w:tcPr>
          <w:p>
            <w:pPr>
              <w:widowControl/>
              <w:spacing w:line="240" w:lineRule="auto"/>
              <w:jc w:val="center"/>
              <w:textAlignment w:val="center"/>
              <w:rPr>
                <w:rFonts w:asciiTheme="majorEastAsia" w:hAnsiTheme="majorEastAsia" w:eastAsiaTheme="majorEastAsia"/>
                <w:bCs/>
                <w:kern w:val="0"/>
                <w:sz w:val="20"/>
                <w:szCs w:val="20"/>
              </w:rPr>
            </w:pPr>
            <w:r>
              <w:rPr>
                <w:rFonts w:hint="eastAsia" w:asciiTheme="majorEastAsia" w:hAnsiTheme="majorEastAsia" w:eastAsiaTheme="majorEastAsia"/>
                <w:bCs/>
                <w:kern w:val="0"/>
                <w:sz w:val="20"/>
                <w:szCs w:val="20"/>
              </w:rPr>
              <w:t>7</w:t>
            </w:r>
          </w:p>
        </w:tc>
        <w:tc>
          <w:tcPr>
            <w:tcW w:w="1834" w:type="pct"/>
            <w:shd w:val="clear" w:color="auto" w:fill="auto"/>
            <w:vAlign w:val="center"/>
          </w:tcPr>
          <w:p>
            <w:pPr>
              <w:widowControl/>
              <w:spacing w:line="240" w:lineRule="auto"/>
              <w:jc w:val="center"/>
              <w:textAlignment w:val="center"/>
              <w:rPr>
                <w:rFonts w:asciiTheme="majorEastAsia" w:hAnsiTheme="majorEastAsia" w:eastAsiaTheme="majorEastAsia"/>
                <w:color w:val="000000"/>
                <w:sz w:val="20"/>
                <w:szCs w:val="20"/>
              </w:rPr>
            </w:pPr>
            <w:r>
              <w:rPr>
                <w:rFonts w:hint="eastAsia" w:asciiTheme="majorEastAsia" w:hAnsiTheme="majorEastAsia" w:eastAsiaTheme="majorEastAsia"/>
                <w:color w:val="000000"/>
                <w:sz w:val="20"/>
                <w:szCs w:val="20"/>
              </w:rPr>
              <w:t>盘州X243保田至大白洞公路</w:t>
            </w:r>
          </w:p>
        </w:tc>
        <w:tc>
          <w:tcPr>
            <w:tcW w:w="432"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p>
        </w:tc>
        <w:tc>
          <w:tcPr>
            <w:tcW w:w="548" w:type="pct"/>
            <w:shd w:val="clear" w:color="auto" w:fill="auto"/>
            <w:vAlign w:val="center"/>
          </w:tcPr>
          <w:p>
            <w:pPr>
              <w:spacing w:line="240" w:lineRule="auto"/>
              <w:jc w:val="center"/>
              <w:rPr>
                <w:rFonts w:asciiTheme="majorEastAsia" w:hAnsiTheme="majorEastAsia" w:eastAsiaTheme="majorEastAsia"/>
                <w:kern w:val="0"/>
                <w:sz w:val="20"/>
                <w:szCs w:val="20"/>
              </w:rPr>
            </w:pPr>
            <w:r>
              <w:rPr>
                <w:rFonts w:asciiTheme="majorEastAsia" w:hAnsiTheme="majorEastAsia" w:eastAsiaTheme="majorEastAsia"/>
                <w:kern w:val="0"/>
                <w:sz w:val="20"/>
                <w:szCs w:val="20"/>
              </w:rPr>
              <w:t>16</w:t>
            </w:r>
          </w:p>
        </w:tc>
        <w:tc>
          <w:tcPr>
            <w:tcW w:w="395" w:type="pct"/>
            <w:shd w:val="clear" w:color="auto" w:fill="auto"/>
            <w:vAlign w:val="center"/>
          </w:tcPr>
          <w:p>
            <w:pPr>
              <w:spacing w:line="240" w:lineRule="auto"/>
              <w:jc w:val="center"/>
              <w:rPr>
                <w:rFonts w:asciiTheme="majorEastAsia" w:hAnsiTheme="majorEastAsia" w:eastAsiaTheme="majorEastAsia"/>
                <w:color w:val="000000"/>
                <w:sz w:val="20"/>
                <w:szCs w:val="20"/>
              </w:rPr>
            </w:pPr>
            <w:r>
              <w:rPr>
                <w:rFonts w:hint="eastAsia" w:asciiTheme="majorEastAsia" w:hAnsiTheme="majorEastAsia" w:eastAsiaTheme="majorEastAsia"/>
                <w:color w:val="000000"/>
                <w:sz w:val="20"/>
                <w:szCs w:val="20"/>
              </w:rPr>
              <w:t>2017</w:t>
            </w:r>
          </w:p>
        </w:tc>
        <w:tc>
          <w:tcPr>
            <w:tcW w:w="436" w:type="pct"/>
            <w:shd w:val="clear" w:color="auto" w:fill="auto"/>
            <w:vAlign w:val="center"/>
          </w:tcPr>
          <w:p>
            <w:pPr>
              <w:widowControl/>
              <w:spacing w:line="240" w:lineRule="auto"/>
              <w:jc w:val="center"/>
              <w:textAlignment w:val="center"/>
              <w:rPr>
                <w:rFonts w:asciiTheme="majorEastAsia" w:hAnsiTheme="majorEastAsia" w:eastAsiaTheme="majorEastAsia"/>
                <w:color w:val="000000"/>
                <w:sz w:val="20"/>
                <w:szCs w:val="20"/>
              </w:rPr>
            </w:pPr>
            <w:r>
              <w:rPr>
                <w:rFonts w:hint="eastAsia" w:asciiTheme="majorEastAsia" w:hAnsiTheme="majorEastAsia" w:eastAsiaTheme="majorEastAsia"/>
                <w:color w:val="000000"/>
                <w:sz w:val="20"/>
                <w:szCs w:val="20"/>
              </w:rPr>
              <w:t>2021</w:t>
            </w:r>
          </w:p>
        </w:tc>
        <w:tc>
          <w:tcPr>
            <w:tcW w:w="773"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asciiTheme="majorEastAsia" w:hAnsiTheme="majorEastAsia" w:eastAsiaTheme="majorEastAsia"/>
                <w:sz w:val="20"/>
                <w:szCs w:val="20"/>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91" w:type="pct"/>
            <w:vMerge w:val="continue"/>
          </w:tcPr>
          <w:p>
            <w:pPr>
              <w:widowControl/>
              <w:spacing w:line="240" w:lineRule="auto"/>
              <w:jc w:val="center"/>
              <w:textAlignment w:val="center"/>
              <w:rPr>
                <w:rFonts w:asciiTheme="majorEastAsia" w:hAnsiTheme="majorEastAsia" w:eastAsiaTheme="majorEastAsia"/>
                <w:bCs/>
                <w:kern w:val="0"/>
                <w:sz w:val="20"/>
                <w:szCs w:val="20"/>
              </w:rPr>
            </w:pPr>
          </w:p>
        </w:tc>
        <w:tc>
          <w:tcPr>
            <w:tcW w:w="291" w:type="pct"/>
            <w:vAlign w:val="center"/>
          </w:tcPr>
          <w:p>
            <w:pPr>
              <w:widowControl/>
              <w:spacing w:line="240" w:lineRule="auto"/>
              <w:jc w:val="center"/>
              <w:textAlignment w:val="center"/>
              <w:rPr>
                <w:rFonts w:asciiTheme="majorEastAsia" w:hAnsiTheme="majorEastAsia" w:eastAsiaTheme="majorEastAsia"/>
                <w:bCs/>
                <w:kern w:val="0"/>
                <w:sz w:val="20"/>
                <w:szCs w:val="20"/>
              </w:rPr>
            </w:pPr>
            <w:r>
              <w:rPr>
                <w:rFonts w:hint="eastAsia" w:asciiTheme="majorEastAsia" w:hAnsiTheme="majorEastAsia" w:eastAsiaTheme="majorEastAsia"/>
                <w:bCs/>
                <w:kern w:val="0"/>
                <w:sz w:val="20"/>
                <w:szCs w:val="20"/>
              </w:rPr>
              <w:t>8</w:t>
            </w:r>
          </w:p>
        </w:tc>
        <w:tc>
          <w:tcPr>
            <w:tcW w:w="1834" w:type="pct"/>
            <w:shd w:val="clear" w:color="auto" w:fill="auto"/>
            <w:vAlign w:val="center"/>
          </w:tcPr>
          <w:p>
            <w:pPr>
              <w:widowControl/>
              <w:spacing w:line="240" w:lineRule="auto"/>
              <w:jc w:val="center"/>
              <w:textAlignment w:val="center"/>
              <w:rPr>
                <w:rFonts w:asciiTheme="majorEastAsia" w:hAnsiTheme="majorEastAsia" w:eastAsiaTheme="majorEastAsia"/>
                <w:color w:val="000000"/>
                <w:sz w:val="20"/>
                <w:szCs w:val="20"/>
              </w:rPr>
            </w:pPr>
            <w:r>
              <w:rPr>
                <w:rFonts w:hint="eastAsia" w:asciiTheme="majorEastAsia" w:hAnsiTheme="majorEastAsia" w:eastAsiaTheme="majorEastAsia"/>
                <w:color w:val="000000"/>
                <w:sz w:val="20"/>
                <w:szCs w:val="20"/>
              </w:rPr>
              <w:t>盘州X247南星至冷风口公路</w:t>
            </w:r>
          </w:p>
        </w:tc>
        <w:tc>
          <w:tcPr>
            <w:tcW w:w="432"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p>
        </w:tc>
        <w:tc>
          <w:tcPr>
            <w:tcW w:w="548" w:type="pct"/>
            <w:shd w:val="clear" w:color="auto" w:fill="auto"/>
            <w:vAlign w:val="center"/>
          </w:tcPr>
          <w:p>
            <w:pPr>
              <w:spacing w:line="240" w:lineRule="auto"/>
              <w:jc w:val="center"/>
              <w:rPr>
                <w:rFonts w:asciiTheme="majorEastAsia" w:hAnsiTheme="majorEastAsia" w:eastAsiaTheme="majorEastAsia"/>
                <w:kern w:val="0"/>
                <w:sz w:val="20"/>
                <w:szCs w:val="20"/>
              </w:rPr>
            </w:pPr>
            <w:r>
              <w:rPr>
                <w:rFonts w:hint="eastAsia" w:asciiTheme="majorEastAsia" w:hAnsiTheme="majorEastAsia" w:eastAsiaTheme="majorEastAsia"/>
                <w:kern w:val="0"/>
                <w:sz w:val="20"/>
                <w:szCs w:val="20"/>
              </w:rPr>
              <w:t>30</w:t>
            </w:r>
          </w:p>
        </w:tc>
        <w:tc>
          <w:tcPr>
            <w:tcW w:w="395" w:type="pct"/>
            <w:shd w:val="clear" w:color="auto" w:fill="auto"/>
            <w:vAlign w:val="center"/>
          </w:tcPr>
          <w:p>
            <w:pPr>
              <w:spacing w:line="240" w:lineRule="auto"/>
              <w:jc w:val="center"/>
              <w:rPr>
                <w:rFonts w:asciiTheme="majorEastAsia" w:hAnsiTheme="majorEastAsia" w:eastAsiaTheme="majorEastAsia"/>
                <w:color w:val="000000"/>
                <w:sz w:val="20"/>
                <w:szCs w:val="20"/>
              </w:rPr>
            </w:pPr>
            <w:r>
              <w:rPr>
                <w:rFonts w:hint="eastAsia" w:asciiTheme="majorEastAsia" w:hAnsiTheme="majorEastAsia" w:eastAsiaTheme="majorEastAsia"/>
                <w:color w:val="000000"/>
                <w:sz w:val="20"/>
                <w:szCs w:val="20"/>
              </w:rPr>
              <w:t>2017</w:t>
            </w:r>
          </w:p>
        </w:tc>
        <w:tc>
          <w:tcPr>
            <w:tcW w:w="436" w:type="pct"/>
            <w:shd w:val="clear" w:color="auto" w:fill="auto"/>
            <w:vAlign w:val="center"/>
          </w:tcPr>
          <w:p>
            <w:pPr>
              <w:widowControl/>
              <w:spacing w:line="240" w:lineRule="auto"/>
              <w:jc w:val="center"/>
              <w:textAlignment w:val="center"/>
              <w:rPr>
                <w:rFonts w:asciiTheme="majorEastAsia" w:hAnsiTheme="majorEastAsia" w:eastAsiaTheme="majorEastAsia"/>
                <w:color w:val="000000"/>
                <w:sz w:val="20"/>
                <w:szCs w:val="20"/>
              </w:rPr>
            </w:pPr>
            <w:r>
              <w:rPr>
                <w:rFonts w:hint="eastAsia" w:asciiTheme="majorEastAsia" w:hAnsiTheme="majorEastAsia" w:eastAsiaTheme="majorEastAsia"/>
                <w:color w:val="000000"/>
                <w:sz w:val="20"/>
                <w:szCs w:val="20"/>
              </w:rPr>
              <w:t>2021</w:t>
            </w:r>
          </w:p>
        </w:tc>
        <w:tc>
          <w:tcPr>
            <w:tcW w:w="773"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91" w:type="pct"/>
            <w:vMerge w:val="continue"/>
          </w:tcPr>
          <w:p>
            <w:pPr>
              <w:widowControl/>
              <w:spacing w:line="240" w:lineRule="auto"/>
              <w:jc w:val="center"/>
              <w:textAlignment w:val="center"/>
              <w:rPr>
                <w:rFonts w:asciiTheme="majorEastAsia" w:hAnsiTheme="majorEastAsia" w:eastAsiaTheme="majorEastAsia"/>
                <w:bCs/>
                <w:kern w:val="0"/>
                <w:sz w:val="20"/>
                <w:szCs w:val="20"/>
              </w:rPr>
            </w:pPr>
          </w:p>
        </w:tc>
        <w:tc>
          <w:tcPr>
            <w:tcW w:w="291" w:type="pct"/>
            <w:vAlign w:val="center"/>
          </w:tcPr>
          <w:p>
            <w:pPr>
              <w:widowControl/>
              <w:spacing w:line="240" w:lineRule="auto"/>
              <w:jc w:val="center"/>
              <w:textAlignment w:val="center"/>
              <w:rPr>
                <w:rFonts w:asciiTheme="majorEastAsia" w:hAnsiTheme="majorEastAsia" w:eastAsiaTheme="majorEastAsia"/>
                <w:bCs/>
                <w:kern w:val="0"/>
                <w:sz w:val="20"/>
                <w:szCs w:val="20"/>
              </w:rPr>
            </w:pPr>
            <w:r>
              <w:rPr>
                <w:rFonts w:hint="eastAsia" w:asciiTheme="majorEastAsia" w:hAnsiTheme="majorEastAsia" w:eastAsiaTheme="majorEastAsia"/>
                <w:bCs/>
                <w:kern w:val="0"/>
                <w:sz w:val="20"/>
                <w:szCs w:val="20"/>
              </w:rPr>
              <w:t>9</w:t>
            </w:r>
          </w:p>
        </w:tc>
        <w:tc>
          <w:tcPr>
            <w:tcW w:w="1834" w:type="pct"/>
            <w:shd w:val="clear" w:color="auto" w:fill="auto"/>
            <w:vAlign w:val="center"/>
          </w:tcPr>
          <w:p>
            <w:pPr>
              <w:widowControl/>
              <w:spacing w:line="240" w:lineRule="auto"/>
              <w:jc w:val="center"/>
              <w:textAlignment w:val="center"/>
              <w:rPr>
                <w:rFonts w:asciiTheme="majorEastAsia" w:hAnsiTheme="majorEastAsia" w:eastAsiaTheme="majorEastAsia"/>
                <w:color w:val="000000"/>
                <w:sz w:val="20"/>
                <w:szCs w:val="20"/>
              </w:rPr>
            </w:pPr>
            <w:r>
              <w:rPr>
                <w:rFonts w:hint="eastAsia" w:asciiTheme="majorEastAsia" w:hAnsiTheme="majorEastAsia" w:eastAsiaTheme="majorEastAsia"/>
                <w:color w:val="000000"/>
                <w:sz w:val="20"/>
                <w:szCs w:val="20"/>
              </w:rPr>
              <w:t>盘州罗细坡至背荫坡公路</w:t>
            </w:r>
          </w:p>
        </w:tc>
        <w:tc>
          <w:tcPr>
            <w:tcW w:w="432"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p>
        </w:tc>
        <w:tc>
          <w:tcPr>
            <w:tcW w:w="548" w:type="pct"/>
            <w:shd w:val="clear" w:color="auto" w:fill="auto"/>
            <w:vAlign w:val="center"/>
          </w:tcPr>
          <w:p>
            <w:pPr>
              <w:spacing w:line="240" w:lineRule="auto"/>
              <w:jc w:val="center"/>
              <w:rPr>
                <w:rFonts w:asciiTheme="majorEastAsia" w:hAnsiTheme="majorEastAsia" w:eastAsiaTheme="majorEastAsia"/>
                <w:kern w:val="0"/>
                <w:sz w:val="20"/>
                <w:szCs w:val="20"/>
              </w:rPr>
            </w:pPr>
            <w:r>
              <w:rPr>
                <w:rFonts w:hint="eastAsia" w:asciiTheme="majorEastAsia" w:hAnsiTheme="majorEastAsia" w:eastAsiaTheme="majorEastAsia"/>
                <w:kern w:val="0"/>
                <w:sz w:val="20"/>
                <w:szCs w:val="20"/>
              </w:rPr>
              <w:t>26</w:t>
            </w:r>
          </w:p>
        </w:tc>
        <w:tc>
          <w:tcPr>
            <w:tcW w:w="395" w:type="pct"/>
            <w:shd w:val="clear" w:color="auto" w:fill="auto"/>
            <w:vAlign w:val="center"/>
          </w:tcPr>
          <w:p>
            <w:pPr>
              <w:spacing w:line="240" w:lineRule="auto"/>
              <w:jc w:val="center"/>
              <w:rPr>
                <w:rFonts w:asciiTheme="majorEastAsia" w:hAnsiTheme="majorEastAsia" w:eastAsiaTheme="majorEastAsia"/>
                <w:color w:val="000000"/>
                <w:sz w:val="20"/>
                <w:szCs w:val="20"/>
              </w:rPr>
            </w:pPr>
            <w:r>
              <w:rPr>
                <w:rFonts w:hint="eastAsia" w:asciiTheme="majorEastAsia" w:hAnsiTheme="majorEastAsia" w:eastAsiaTheme="majorEastAsia"/>
                <w:color w:val="000000"/>
                <w:sz w:val="20"/>
                <w:szCs w:val="20"/>
              </w:rPr>
              <w:t>2017</w:t>
            </w:r>
          </w:p>
        </w:tc>
        <w:tc>
          <w:tcPr>
            <w:tcW w:w="436" w:type="pct"/>
            <w:shd w:val="clear" w:color="auto" w:fill="auto"/>
            <w:vAlign w:val="center"/>
          </w:tcPr>
          <w:p>
            <w:pPr>
              <w:widowControl/>
              <w:spacing w:line="240" w:lineRule="auto"/>
              <w:jc w:val="center"/>
              <w:textAlignment w:val="center"/>
              <w:rPr>
                <w:rFonts w:asciiTheme="majorEastAsia" w:hAnsiTheme="majorEastAsia" w:eastAsiaTheme="majorEastAsia"/>
                <w:color w:val="000000"/>
                <w:sz w:val="20"/>
                <w:szCs w:val="20"/>
              </w:rPr>
            </w:pPr>
            <w:r>
              <w:rPr>
                <w:rFonts w:hint="eastAsia" w:asciiTheme="majorEastAsia" w:hAnsiTheme="majorEastAsia" w:eastAsiaTheme="majorEastAsia"/>
                <w:color w:val="000000"/>
                <w:sz w:val="20"/>
                <w:szCs w:val="20"/>
              </w:rPr>
              <w:t>2021</w:t>
            </w:r>
          </w:p>
        </w:tc>
        <w:tc>
          <w:tcPr>
            <w:tcW w:w="773" w:type="pct"/>
            <w:shd w:val="clear" w:color="auto" w:fill="auto"/>
            <w:vAlign w:val="center"/>
          </w:tcPr>
          <w:p>
            <w:pPr>
              <w:widowControl/>
              <w:spacing w:line="240" w:lineRule="auto"/>
              <w:jc w:val="center"/>
              <w:textAlignment w:val="center"/>
              <w:rPr>
                <w:rFonts w:asciiTheme="majorEastAsia" w:hAnsiTheme="majorEastAsia" w:eastAsiaTheme="majorEastAsia"/>
                <w:sz w:val="20"/>
                <w:szCs w:val="20"/>
              </w:rPr>
            </w:pPr>
            <w:r>
              <w:rPr>
                <w:rFonts w:hint="eastAsia" w:asciiTheme="majorEastAsia" w:hAnsiTheme="majorEastAsia" w:eastAsiaTheme="majorEastAsia"/>
                <w:sz w:val="20"/>
                <w:szCs w:val="20"/>
              </w:rPr>
              <w:t>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9" w:hRule="atLeast"/>
          <w:jc w:val="center"/>
        </w:trPr>
        <w:tc>
          <w:tcPr>
            <w:tcW w:w="291" w:type="pct"/>
            <w:vMerge w:val="continue"/>
          </w:tcPr>
          <w:p>
            <w:pPr>
              <w:widowControl/>
              <w:spacing w:line="240" w:lineRule="auto"/>
              <w:jc w:val="center"/>
              <w:textAlignment w:val="center"/>
              <w:rPr>
                <w:rFonts w:asciiTheme="majorEastAsia" w:hAnsiTheme="majorEastAsia" w:eastAsiaTheme="majorEastAsia"/>
                <w:bCs/>
                <w:kern w:val="0"/>
                <w:sz w:val="20"/>
                <w:szCs w:val="20"/>
              </w:rPr>
            </w:pPr>
          </w:p>
        </w:tc>
        <w:tc>
          <w:tcPr>
            <w:tcW w:w="291" w:type="pct"/>
            <w:vAlign w:val="center"/>
          </w:tcPr>
          <w:p>
            <w:pPr>
              <w:widowControl/>
              <w:spacing w:line="240" w:lineRule="auto"/>
              <w:jc w:val="center"/>
              <w:textAlignment w:val="center"/>
              <w:rPr>
                <w:rFonts w:asciiTheme="majorEastAsia" w:hAnsiTheme="majorEastAsia" w:eastAsiaTheme="majorEastAsia"/>
                <w:bCs/>
                <w:kern w:val="0"/>
                <w:sz w:val="20"/>
                <w:szCs w:val="20"/>
              </w:rPr>
            </w:pPr>
          </w:p>
        </w:tc>
        <w:tc>
          <w:tcPr>
            <w:tcW w:w="1834" w:type="pct"/>
            <w:shd w:val="clear" w:color="000000" w:fill="FFFFFF"/>
            <w:vAlign w:val="center"/>
          </w:tcPr>
          <w:p>
            <w:pPr>
              <w:widowControl/>
              <w:spacing w:line="240" w:lineRule="auto"/>
              <w:jc w:val="center"/>
              <w:textAlignment w:val="center"/>
              <w:rPr>
                <w:rFonts w:asciiTheme="majorEastAsia" w:hAnsiTheme="majorEastAsia" w:eastAsiaTheme="majorEastAsia"/>
                <w:b/>
                <w:sz w:val="20"/>
                <w:szCs w:val="20"/>
              </w:rPr>
            </w:pPr>
            <w:r>
              <w:rPr>
                <w:rFonts w:hint="eastAsia" w:asciiTheme="majorEastAsia" w:hAnsiTheme="majorEastAsia" w:eastAsiaTheme="majorEastAsia"/>
                <w:b/>
                <w:color w:val="000000"/>
                <w:sz w:val="20"/>
                <w:szCs w:val="20"/>
              </w:rPr>
              <w:t>小计</w:t>
            </w:r>
          </w:p>
        </w:tc>
        <w:tc>
          <w:tcPr>
            <w:tcW w:w="432" w:type="pct"/>
            <w:shd w:val="clear" w:color="000000" w:fill="FFFFFF"/>
            <w:vAlign w:val="center"/>
          </w:tcPr>
          <w:p>
            <w:pPr>
              <w:widowControl/>
              <w:spacing w:line="240" w:lineRule="auto"/>
              <w:jc w:val="center"/>
              <w:textAlignment w:val="center"/>
              <w:rPr>
                <w:rFonts w:asciiTheme="majorEastAsia" w:hAnsiTheme="majorEastAsia" w:eastAsiaTheme="majorEastAsia"/>
                <w:b/>
                <w:sz w:val="20"/>
                <w:szCs w:val="20"/>
              </w:rPr>
            </w:pPr>
          </w:p>
        </w:tc>
        <w:tc>
          <w:tcPr>
            <w:tcW w:w="548" w:type="pct"/>
            <w:shd w:val="clear" w:color="000000" w:fill="FFFFFF"/>
            <w:vAlign w:val="center"/>
          </w:tcPr>
          <w:p>
            <w:pPr>
              <w:spacing w:line="240" w:lineRule="auto"/>
              <w:jc w:val="center"/>
              <w:rPr>
                <w:rFonts w:asciiTheme="majorEastAsia" w:hAnsiTheme="majorEastAsia" w:eastAsiaTheme="majorEastAsia"/>
                <w:b/>
                <w:kern w:val="0"/>
                <w:sz w:val="20"/>
                <w:szCs w:val="20"/>
              </w:rPr>
            </w:pPr>
            <w:r>
              <w:rPr>
                <w:rFonts w:asciiTheme="majorEastAsia" w:hAnsiTheme="majorEastAsia" w:eastAsiaTheme="majorEastAsia"/>
                <w:b/>
                <w:color w:val="000000"/>
                <w:sz w:val="20"/>
                <w:szCs w:val="20"/>
              </w:rPr>
              <w:t>164.02</w:t>
            </w:r>
          </w:p>
        </w:tc>
        <w:tc>
          <w:tcPr>
            <w:tcW w:w="395" w:type="pct"/>
            <w:shd w:val="clear" w:color="000000" w:fill="FFFFFF"/>
            <w:vAlign w:val="center"/>
          </w:tcPr>
          <w:p>
            <w:pPr>
              <w:spacing w:line="240" w:lineRule="auto"/>
              <w:jc w:val="center"/>
              <w:rPr>
                <w:rFonts w:asciiTheme="majorEastAsia" w:hAnsiTheme="majorEastAsia" w:eastAsiaTheme="majorEastAsia"/>
                <w:b/>
                <w:sz w:val="20"/>
                <w:szCs w:val="20"/>
              </w:rPr>
            </w:pPr>
          </w:p>
        </w:tc>
        <w:tc>
          <w:tcPr>
            <w:tcW w:w="436" w:type="pct"/>
            <w:shd w:val="clear" w:color="000000" w:fill="FFFFFF"/>
            <w:vAlign w:val="center"/>
          </w:tcPr>
          <w:p>
            <w:pPr>
              <w:widowControl/>
              <w:spacing w:line="240" w:lineRule="auto"/>
              <w:jc w:val="center"/>
              <w:textAlignment w:val="center"/>
              <w:rPr>
                <w:rFonts w:asciiTheme="majorEastAsia" w:hAnsiTheme="majorEastAsia" w:eastAsiaTheme="majorEastAsia"/>
                <w:b/>
                <w:sz w:val="20"/>
                <w:szCs w:val="20"/>
              </w:rPr>
            </w:pPr>
          </w:p>
        </w:tc>
        <w:tc>
          <w:tcPr>
            <w:tcW w:w="773" w:type="pct"/>
            <w:shd w:val="clear" w:color="000000" w:fill="FFFFFF"/>
            <w:vAlign w:val="center"/>
          </w:tcPr>
          <w:p>
            <w:pPr>
              <w:widowControl/>
              <w:spacing w:line="240" w:lineRule="auto"/>
              <w:jc w:val="center"/>
              <w:textAlignment w:val="center"/>
              <w:rPr>
                <w:rFonts w:asciiTheme="majorEastAsia" w:hAnsiTheme="majorEastAsia" w:eastAsiaTheme="majorEastAsia"/>
                <w:b/>
                <w:sz w:val="20"/>
                <w:szCs w:val="20"/>
              </w:rPr>
            </w:pPr>
            <w:r>
              <w:rPr>
                <w:rFonts w:asciiTheme="majorEastAsia" w:hAnsiTheme="majorEastAsia" w:eastAsiaTheme="majorEastAsia"/>
                <w:b/>
                <w:sz w:val="20"/>
                <w:szCs w:val="20"/>
              </w:rPr>
              <w:t>21.98</w:t>
            </w:r>
          </w:p>
        </w:tc>
      </w:tr>
    </w:tbl>
    <w:p>
      <w:pPr>
        <w:pStyle w:val="6"/>
        <w:rPr>
          <w:rFonts w:asciiTheme="majorEastAsia" w:hAnsiTheme="majorEastAsia" w:eastAsiaTheme="majorEastAsia"/>
        </w:rPr>
      </w:pPr>
      <w:r>
        <w:rPr>
          <w:rFonts w:hint="eastAsia" w:asciiTheme="majorEastAsia" w:hAnsiTheme="majorEastAsia" w:eastAsiaTheme="majorEastAsia"/>
        </w:rPr>
        <w:t>（三）农村公路建设稳步推进，交通基础设施不断完善</w:t>
      </w:r>
    </w:p>
    <w:p>
      <w:pPr>
        <w:pStyle w:val="43"/>
        <w:ind w:firstLine="560"/>
        <w:rPr>
          <w:rFonts w:asciiTheme="majorEastAsia" w:hAnsiTheme="majorEastAsia" w:eastAsiaTheme="majorEastAsia"/>
        </w:rPr>
      </w:pPr>
      <w:r>
        <w:rPr>
          <w:rFonts w:hint="eastAsia" w:asciiTheme="majorEastAsia" w:hAnsiTheme="majorEastAsia" w:eastAsiaTheme="majorEastAsia"/>
        </w:rPr>
        <w:t>“十三五”以来，对标全面建成小康社会总目标，六盘水市加快完善农村公路网络化建设。通过大力实施建制村通硬化路、撤并建制村通硬化路、县乡道改造工程，“十三五”期间，实现100%建制村通水泥硬化路，具备条件的建制村100%通客运车辆。建成2185公里的通村水泥路，建成县乡道改造项目</w:t>
      </w:r>
      <w:r>
        <w:rPr>
          <w:rFonts w:asciiTheme="majorEastAsia" w:hAnsiTheme="majorEastAsia" w:eastAsiaTheme="majorEastAsia"/>
        </w:rPr>
        <w:t>120</w:t>
      </w:r>
      <w:r>
        <w:rPr>
          <w:rFonts w:hint="eastAsia" w:asciiTheme="majorEastAsia" w:hAnsiTheme="majorEastAsia" w:eastAsiaTheme="majorEastAsia"/>
        </w:rPr>
        <w:t>公里，建设撤并建制村通硬化路1424公里，2017年实现行政村通畅率达100%，提前三年完成交通脱贫攻坚兜底性任务。打赢脱贫攻坚“四场硬仗”之首的基础设施硬仗，建成农村“组组通”硬化路6434公里，30户以上村民组通畅率由32%提升至100%，处治农村公路隐患里程7642公里，实施农村公路四五类危桥改造32座。</w:t>
      </w:r>
    </w:p>
    <w:p>
      <w:pPr>
        <w:pStyle w:val="43"/>
        <w:ind w:firstLine="560"/>
        <w:rPr>
          <w:rFonts w:asciiTheme="majorEastAsia" w:hAnsiTheme="majorEastAsia" w:eastAsiaTheme="majorEastAsia"/>
        </w:rPr>
      </w:pPr>
      <w:r>
        <w:rPr>
          <w:rFonts w:hint="eastAsia" w:asciiTheme="majorEastAsia" w:hAnsiTheme="majorEastAsia" w:eastAsiaTheme="majorEastAsia"/>
        </w:rPr>
        <w:t>截至目前六盘水市成为全省第一家率先实现辖区内所有</w:t>
      </w:r>
      <w:bookmarkStart w:id="129" w:name="_Hlk80713866"/>
      <w:r>
        <w:rPr>
          <w:rFonts w:hint="eastAsia" w:asciiTheme="majorEastAsia" w:hAnsiTheme="majorEastAsia" w:eastAsiaTheme="majorEastAsia"/>
        </w:rPr>
        <w:t>市、特区、区</w:t>
      </w:r>
      <w:bookmarkEnd w:id="129"/>
      <w:r>
        <w:rPr>
          <w:rFonts w:hint="eastAsia" w:asciiTheme="majorEastAsia" w:hAnsiTheme="majorEastAsia" w:eastAsiaTheme="majorEastAsia"/>
        </w:rPr>
        <w:t>建成省级或国家级“四好农村路”示范县的地级市。已成功创建两个“四好农村路”全国示范县（钟山区、盘州市），两个“四好农村路”省级示范县（六枝特区、水城区）。</w:t>
      </w:r>
    </w:p>
    <w:p>
      <w:pPr>
        <w:pStyle w:val="6"/>
        <w:rPr>
          <w:rFonts w:asciiTheme="majorEastAsia" w:hAnsiTheme="majorEastAsia" w:eastAsiaTheme="majorEastAsia"/>
        </w:rPr>
      </w:pPr>
      <w:r>
        <w:rPr>
          <w:rFonts w:hint="eastAsia" w:asciiTheme="majorEastAsia" w:hAnsiTheme="majorEastAsia" w:eastAsiaTheme="majorEastAsia"/>
        </w:rPr>
        <w:t>（四）水运航运能力增强，拓展水上交通要道</w:t>
      </w:r>
    </w:p>
    <w:p>
      <w:pPr>
        <w:ind w:firstLine="560" w:firstLineChars="200"/>
        <w:rPr>
          <w:rFonts w:asciiTheme="majorEastAsia" w:hAnsiTheme="majorEastAsia" w:eastAsiaTheme="majorEastAsia"/>
          <w:color w:val="FF0000"/>
          <w:szCs w:val="28"/>
        </w:rPr>
      </w:pPr>
      <w:r>
        <w:rPr>
          <w:rFonts w:asciiTheme="majorEastAsia" w:hAnsiTheme="majorEastAsia" w:eastAsiaTheme="majorEastAsia"/>
          <w:kern w:val="0"/>
          <w:szCs w:val="28"/>
        </w:rPr>
        <w:t>六盘水</w:t>
      </w:r>
      <w:r>
        <w:rPr>
          <w:rFonts w:hint="eastAsia" w:asciiTheme="majorEastAsia" w:hAnsiTheme="majorEastAsia" w:eastAsiaTheme="majorEastAsia"/>
          <w:kern w:val="0"/>
          <w:szCs w:val="28"/>
        </w:rPr>
        <w:t>市</w:t>
      </w:r>
      <w:r>
        <w:rPr>
          <w:rFonts w:asciiTheme="majorEastAsia" w:hAnsiTheme="majorEastAsia" w:eastAsiaTheme="majorEastAsia"/>
          <w:kern w:val="0"/>
          <w:szCs w:val="28"/>
        </w:rPr>
        <w:t>地处长江、珠江流域分水岭地带，北属长江流域乌江水系，境内以三岔河为干流；南属珠江水系，以北盘江为干流，由西向东横贯市境中部。水运交通以北盘江、三岔河为主</w:t>
      </w:r>
      <w:r>
        <w:rPr>
          <w:rFonts w:asciiTheme="majorEastAsia" w:hAnsiTheme="majorEastAsia" w:eastAsiaTheme="majorEastAsia"/>
          <w:szCs w:val="28"/>
        </w:rPr>
        <w:t>。</w:t>
      </w:r>
    </w:p>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通过“十三五”期建设，六盘水市航运条件得到较大改善，航道里程、航道等级得到进一步提升，至</w:t>
      </w:r>
      <w:r>
        <w:rPr>
          <w:rFonts w:asciiTheme="majorEastAsia" w:hAnsiTheme="majorEastAsia" w:eastAsiaTheme="majorEastAsia"/>
          <w:szCs w:val="28"/>
        </w:rPr>
        <w:t>2020</w:t>
      </w:r>
      <w:r>
        <w:rPr>
          <w:rFonts w:hint="eastAsia" w:asciiTheme="majorEastAsia" w:hAnsiTheme="majorEastAsia" w:eastAsiaTheme="majorEastAsia"/>
          <w:szCs w:val="28"/>
        </w:rPr>
        <w:t>年底，全市航道统计里程381.7公里，较“十二五”末增加80.2公里。其中四级航道25公里。“十三五”期间，开展了库区航运、民生水运等基础设施建设，建成光照库区航运建设工程10个停靠点以及开工建设阿珠库区</w:t>
      </w:r>
      <w:r>
        <w:rPr>
          <w:rFonts w:asciiTheme="majorEastAsia" w:hAnsiTheme="majorEastAsia" w:eastAsiaTheme="majorEastAsia"/>
          <w:szCs w:val="28"/>
        </w:rPr>
        <w:t>6</w:t>
      </w:r>
      <w:r>
        <w:rPr>
          <w:rFonts w:hint="eastAsia" w:asciiTheme="majorEastAsia" w:hAnsiTheme="majorEastAsia" w:eastAsiaTheme="majorEastAsia"/>
          <w:szCs w:val="28"/>
        </w:rPr>
        <w:t>座停靠点，完成建设新民等8座便民码头。</w:t>
      </w:r>
    </w:p>
    <w:p>
      <w:pPr>
        <w:tabs>
          <w:tab w:val="left" w:pos="8100"/>
        </w:tabs>
        <w:ind w:firstLine="482"/>
        <w:jc w:val="center"/>
        <w:rPr>
          <w:rFonts w:asciiTheme="majorEastAsia" w:hAnsiTheme="majorEastAsia" w:eastAsiaTheme="majorEastAsia"/>
          <w:b/>
          <w:sz w:val="24"/>
          <w:szCs w:val="22"/>
        </w:rPr>
      </w:pPr>
      <w:r>
        <w:rPr>
          <w:rFonts w:asciiTheme="majorEastAsia" w:hAnsiTheme="majorEastAsia" w:eastAsiaTheme="majorEastAsia"/>
          <w:b/>
          <w:sz w:val="24"/>
          <w:szCs w:val="22"/>
        </w:rPr>
        <w:t>表2-5 “十三五”期内河水运重点项目建设方案表</w:t>
      </w:r>
    </w:p>
    <w:tbl>
      <w:tblPr>
        <w:tblStyle w:val="19"/>
        <w:tblW w:w="75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567"/>
        <w:gridCol w:w="1559"/>
        <w:gridCol w:w="2273"/>
        <w:gridCol w:w="704"/>
        <w:gridCol w:w="678"/>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99" w:type="dxa"/>
            <w:vMerge w:val="restart"/>
            <w:shd w:val="clear" w:color="auto" w:fill="auto"/>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类别</w:t>
            </w:r>
          </w:p>
        </w:tc>
        <w:tc>
          <w:tcPr>
            <w:tcW w:w="567" w:type="dxa"/>
            <w:vMerge w:val="restart"/>
            <w:shd w:val="clear" w:color="auto" w:fill="auto"/>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序号</w:t>
            </w:r>
          </w:p>
        </w:tc>
        <w:tc>
          <w:tcPr>
            <w:tcW w:w="1559" w:type="dxa"/>
            <w:vMerge w:val="restart"/>
            <w:shd w:val="clear" w:color="auto" w:fill="auto"/>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项目名称</w:t>
            </w:r>
          </w:p>
        </w:tc>
        <w:tc>
          <w:tcPr>
            <w:tcW w:w="2273" w:type="dxa"/>
            <w:vMerge w:val="restart"/>
            <w:shd w:val="clear" w:color="auto" w:fill="auto"/>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建设规模</w:t>
            </w:r>
          </w:p>
        </w:tc>
        <w:tc>
          <w:tcPr>
            <w:tcW w:w="1382" w:type="dxa"/>
            <w:gridSpan w:val="2"/>
            <w:vMerge w:val="restart"/>
            <w:shd w:val="clear" w:color="auto" w:fill="auto"/>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建设起止年限</w:t>
            </w:r>
          </w:p>
        </w:tc>
        <w:tc>
          <w:tcPr>
            <w:tcW w:w="1023" w:type="dxa"/>
            <w:shd w:val="clear" w:color="auto" w:fill="auto"/>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总投资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99" w:type="dxa"/>
            <w:vMerge w:val="continue"/>
            <w:vAlign w:val="center"/>
          </w:tcPr>
          <w:p>
            <w:pPr>
              <w:widowControl/>
              <w:spacing w:line="240" w:lineRule="auto"/>
              <w:jc w:val="center"/>
              <w:rPr>
                <w:rFonts w:ascii="宋体" w:hAnsi="宋体" w:cs="宋体"/>
                <w:b/>
                <w:bCs/>
                <w:color w:val="000000"/>
                <w:kern w:val="0"/>
                <w:sz w:val="20"/>
                <w:szCs w:val="20"/>
              </w:rPr>
            </w:pPr>
          </w:p>
        </w:tc>
        <w:tc>
          <w:tcPr>
            <w:tcW w:w="567" w:type="dxa"/>
            <w:vMerge w:val="continue"/>
            <w:vAlign w:val="center"/>
          </w:tcPr>
          <w:p>
            <w:pPr>
              <w:widowControl/>
              <w:spacing w:line="240" w:lineRule="auto"/>
              <w:jc w:val="center"/>
              <w:rPr>
                <w:rFonts w:ascii="宋体" w:hAnsi="宋体" w:cs="宋体"/>
                <w:b/>
                <w:bCs/>
                <w:color w:val="000000"/>
                <w:kern w:val="0"/>
                <w:sz w:val="20"/>
                <w:szCs w:val="20"/>
              </w:rPr>
            </w:pPr>
          </w:p>
        </w:tc>
        <w:tc>
          <w:tcPr>
            <w:tcW w:w="1559" w:type="dxa"/>
            <w:vMerge w:val="continue"/>
            <w:vAlign w:val="center"/>
          </w:tcPr>
          <w:p>
            <w:pPr>
              <w:widowControl/>
              <w:spacing w:line="240" w:lineRule="auto"/>
              <w:jc w:val="center"/>
              <w:rPr>
                <w:rFonts w:ascii="宋体" w:hAnsi="宋体" w:cs="宋体"/>
                <w:b/>
                <w:bCs/>
                <w:color w:val="000000"/>
                <w:kern w:val="0"/>
                <w:sz w:val="20"/>
                <w:szCs w:val="20"/>
              </w:rPr>
            </w:pPr>
          </w:p>
        </w:tc>
        <w:tc>
          <w:tcPr>
            <w:tcW w:w="2273" w:type="dxa"/>
            <w:vMerge w:val="continue"/>
            <w:vAlign w:val="center"/>
          </w:tcPr>
          <w:p>
            <w:pPr>
              <w:widowControl/>
              <w:spacing w:line="240" w:lineRule="auto"/>
              <w:jc w:val="center"/>
              <w:rPr>
                <w:rFonts w:ascii="宋体" w:hAnsi="宋体" w:cs="宋体"/>
                <w:b/>
                <w:bCs/>
                <w:color w:val="000000"/>
                <w:kern w:val="0"/>
                <w:sz w:val="20"/>
                <w:szCs w:val="20"/>
              </w:rPr>
            </w:pPr>
          </w:p>
        </w:tc>
        <w:tc>
          <w:tcPr>
            <w:tcW w:w="1382" w:type="dxa"/>
            <w:gridSpan w:val="2"/>
            <w:vMerge w:val="continue"/>
            <w:vAlign w:val="center"/>
          </w:tcPr>
          <w:p>
            <w:pPr>
              <w:widowControl/>
              <w:spacing w:line="240" w:lineRule="auto"/>
              <w:jc w:val="center"/>
              <w:rPr>
                <w:rFonts w:ascii="宋体" w:hAnsi="宋体" w:cs="宋体"/>
                <w:b/>
                <w:bCs/>
                <w:color w:val="000000"/>
                <w:kern w:val="0"/>
                <w:sz w:val="20"/>
                <w:szCs w:val="20"/>
              </w:rPr>
            </w:pPr>
          </w:p>
        </w:tc>
        <w:tc>
          <w:tcPr>
            <w:tcW w:w="1023" w:type="dxa"/>
            <w:shd w:val="clear" w:color="auto" w:fill="auto"/>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99" w:type="dxa"/>
            <w:shd w:val="clear" w:color="auto" w:fill="auto"/>
            <w:vAlign w:val="center"/>
          </w:tcPr>
          <w:p>
            <w:pPr>
              <w:widowControl/>
              <w:spacing w:line="240" w:lineRule="auto"/>
              <w:jc w:val="center"/>
              <w:rPr>
                <w:rFonts w:ascii="宋体" w:hAnsi="宋体" w:cs="宋体"/>
                <w:b/>
                <w:bCs/>
                <w:color w:val="000000"/>
                <w:kern w:val="0"/>
                <w:sz w:val="20"/>
                <w:szCs w:val="20"/>
              </w:rPr>
            </w:pPr>
          </w:p>
        </w:tc>
        <w:tc>
          <w:tcPr>
            <w:tcW w:w="2126" w:type="dxa"/>
            <w:gridSpan w:val="2"/>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航运建设工程</w:t>
            </w:r>
          </w:p>
        </w:tc>
        <w:tc>
          <w:tcPr>
            <w:tcW w:w="2273" w:type="dxa"/>
            <w:shd w:val="clear" w:color="auto" w:fill="auto"/>
            <w:vAlign w:val="center"/>
          </w:tcPr>
          <w:p>
            <w:pPr>
              <w:widowControl/>
              <w:spacing w:line="240" w:lineRule="auto"/>
              <w:jc w:val="center"/>
              <w:rPr>
                <w:rFonts w:ascii="宋体" w:hAnsi="宋体" w:cs="宋体"/>
                <w:color w:val="000000"/>
                <w:kern w:val="0"/>
                <w:sz w:val="20"/>
                <w:szCs w:val="20"/>
              </w:rPr>
            </w:pPr>
          </w:p>
        </w:tc>
        <w:tc>
          <w:tcPr>
            <w:tcW w:w="704" w:type="dxa"/>
            <w:shd w:val="clear" w:color="auto" w:fill="auto"/>
            <w:vAlign w:val="center"/>
          </w:tcPr>
          <w:p>
            <w:pPr>
              <w:widowControl/>
              <w:spacing w:line="240" w:lineRule="auto"/>
              <w:jc w:val="center"/>
              <w:rPr>
                <w:rFonts w:ascii="宋体" w:hAnsi="宋体" w:cs="宋体"/>
                <w:color w:val="000000"/>
                <w:kern w:val="0"/>
                <w:sz w:val="20"/>
                <w:szCs w:val="20"/>
              </w:rPr>
            </w:pPr>
          </w:p>
        </w:tc>
        <w:tc>
          <w:tcPr>
            <w:tcW w:w="678" w:type="dxa"/>
            <w:shd w:val="clear" w:color="auto" w:fill="auto"/>
            <w:vAlign w:val="center"/>
          </w:tcPr>
          <w:p>
            <w:pPr>
              <w:widowControl/>
              <w:spacing w:line="240" w:lineRule="auto"/>
              <w:jc w:val="center"/>
              <w:rPr>
                <w:rFonts w:ascii="宋体" w:hAnsi="宋体" w:cs="宋体"/>
                <w:color w:val="000000"/>
                <w:kern w:val="0"/>
                <w:sz w:val="20"/>
                <w:szCs w:val="20"/>
              </w:rPr>
            </w:pPr>
          </w:p>
        </w:tc>
        <w:tc>
          <w:tcPr>
            <w:tcW w:w="1023" w:type="dxa"/>
            <w:shd w:val="clear" w:color="auto" w:fill="auto"/>
            <w:vAlign w:val="center"/>
          </w:tcPr>
          <w:p>
            <w:pPr>
              <w:widowControl/>
              <w:spacing w:line="240" w:lineRule="auto"/>
              <w:jc w:val="center"/>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5" w:hRule="atLeast"/>
          <w:jc w:val="center"/>
        </w:trPr>
        <w:tc>
          <w:tcPr>
            <w:tcW w:w="699" w:type="dxa"/>
            <w:vMerge w:val="restart"/>
            <w:shd w:val="clear" w:color="auto" w:fill="auto"/>
            <w:vAlign w:val="center"/>
          </w:tcPr>
          <w:p>
            <w:pPr>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已建项目</w:t>
            </w:r>
          </w:p>
        </w:tc>
        <w:tc>
          <w:tcPr>
            <w:tcW w:w="567"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559"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光照库区航运建设工程</w:t>
            </w:r>
          </w:p>
        </w:tc>
        <w:tc>
          <w:tcPr>
            <w:tcW w:w="2273"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停靠点8个，泊位8个，航标1套，支持保障系统1套，监督检查设备1套</w:t>
            </w:r>
          </w:p>
        </w:tc>
        <w:tc>
          <w:tcPr>
            <w:tcW w:w="704"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2014</w:t>
            </w:r>
          </w:p>
        </w:tc>
        <w:tc>
          <w:tcPr>
            <w:tcW w:w="678"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2019</w:t>
            </w:r>
          </w:p>
        </w:tc>
        <w:tc>
          <w:tcPr>
            <w:tcW w:w="1023"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99" w:type="dxa"/>
            <w:vMerge w:val="continue"/>
            <w:shd w:val="clear" w:color="auto" w:fill="auto"/>
            <w:vAlign w:val="center"/>
          </w:tcPr>
          <w:p>
            <w:pPr>
              <w:spacing w:line="240" w:lineRule="auto"/>
              <w:jc w:val="center"/>
              <w:rPr>
                <w:rFonts w:ascii="宋体" w:hAnsi="宋体" w:cs="宋体"/>
                <w:b/>
                <w:bCs/>
                <w:color w:val="000000"/>
                <w:kern w:val="0"/>
                <w:sz w:val="20"/>
                <w:szCs w:val="20"/>
              </w:rPr>
            </w:pPr>
          </w:p>
        </w:tc>
        <w:tc>
          <w:tcPr>
            <w:tcW w:w="2126" w:type="dxa"/>
            <w:gridSpan w:val="2"/>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港区、通航设施等其他工程</w:t>
            </w:r>
          </w:p>
        </w:tc>
        <w:tc>
          <w:tcPr>
            <w:tcW w:w="2273" w:type="dxa"/>
            <w:shd w:val="clear" w:color="auto" w:fill="auto"/>
            <w:vAlign w:val="center"/>
          </w:tcPr>
          <w:p>
            <w:pPr>
              <w:widowControl/>
              <w:spacing w:line="240" w:lineRule="auto"/>
              <w:jc w:val="center"/>
              <w:rPr>
                <w:rFonts w:ascii="宋体" w:hAnsi="宋体" w:cs="宋体"/>
                <w:color w:val="000000"/>
                <w:kern w:val="0"/>
                <w:sz w:val="20"/>
                <w:szCs w:val="20"/>
              </w:rPr>
            </w:pPr>
          </w:p>
        </w:tc>
        <w:tc>
          <w:tcPr>
            <w:tcW w:w="704" w:type="dxa"/>
            <w:shd w:val="clear" w:color="auto" w:fill="auto"/>
            <w:vAlign w:val="center"/>
          </w:tcPr>
          <w:p>
            <w:pPr>
              <w:widowControl/>
              <w:spacing w:line="240" w:lineRule="auto"/>
              <w:jc w:val="center"/>
              <w:rPr>
                <w:rFonts w:ascii="宋体" w:hAnsi="宋体" w:cs="宋体"/>
                <w:color w:val="000000"/>
                <w:kern w:val="0"/>
                <w:sz w:val="20"/>
                <w:szCs w:val="20"/>
              </w:rPr>
            </w:pPr>
          </w:p>
        </w:tc>
        <w:tc>
          <w:tcPr>
            <w:tcW w:w="678" w:type="dxa"/>
            <w:shd w:val="clear" w:color="auto" w:fill="auto"/>
            <w:vAlign w:val="center"/>
          </w:tcPr>
          <w:p>
            <w:pPr>
              <w:widowControl/>
              <w:spacing w:line="240" w:lineRule="auto"/>
              <w:jc w:val="center"/>
              <w:rPr>
                <w:rFonts w:ascii="宋体" w:hAnsi="宋体" w:cs="宋体"/>
                <w:color w:val="000000"/>
                <w:kern w:val="0"/>
                <w:sz w:val="20"/>
                <w:szCs w:val="20"/>
              </w:rPr>
            </w:pPr>
          </w:p>
        </w:tc>
        <w:tc>
          <w:tcPr>
            <w:tcW w:w="1023" w:type="dxa"/>
            <w:shd w:val="clear" w:color="auto" w:fill="auto"/>
            <w:vAlign w:val="center"/>
          </w:tcPr>
          <w:p>
            <w:pPr>
              <w:widowControl/>
              <w:spacing w:line="240" w:lineRule="auto"/>
              <w:jc w:val="center"/>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99" w:type="dxa"/>
            <w:vMerge w:val="continue"/>
            <w:shd w:val="clear" w:color="auto" w:fill="auto"/>
            <w:vAlign w:val="center"/>
          </w:tcPr>
          <w:p>
            <w:pPr>
              <w:widowControl/>
              <w:spacing w:line="240" w:lineRule="auto"/>
              <w:jc w:val="center"/>
              <w:rPr>
                <w:rFonts w:ascii="宋体" w:hAnsi="宋体" w:cs="宋体"/>
                <w:b/>
                <w:bCs/>
                <w:color w:val="000000"/>
                <w:kern w:val="0"/>
                <w:sz w:val="20"/>
                <w:szCs w:val="20"/>
              </w:rPr>
            </w:pPr>
          </w:p>
        </w:tc>
        <w:tc>
          <w:tcPr>
            <w:tcW w:w="567"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559"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懒龙河库区二道水便民码头建设</w:t>
            </w:r>
          </w:p>
        </w:tc>
        <w:tc>
          <w:tcPr>
            <w:tcW w:w="2273"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懒龙河库区，泊位1个</w:t>
            </w:r>
          </w:p>
        </w:tc>
        <w:tc>
          <w:tcPr>
            <w:tcW w:w="704"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2017</w:t>
            </w:r>
          </w:p>
        </w:tc>
        <w:tc>
          <w:tcPr>
            <w:tcW w:w="678"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2018</w:t>
            </w:r>
          </w:p>
        </w:tc>
        <w:tc>
          <w:tcPr>
            <w:tcW w:w="1023"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99" w:type="dxa"/>
            <w:vMerge w:val="continue"/>
            <w:shd w:val="clear" w:color="auto" w:fill="auto"/>
            <w:vAlign w:val="center"/>
          </w:tcPr>
          <w:p>
            <w:pPr>
              <w:widowControl/>
              <w:spacing w:line="240" w:lineRule="auto"/>
              <w:jc w:val="center"/>
              <w:rPr>
                <w:rFonts w:ascii="等线" w:hAnsi="等线" w:eastAsia="等线" w:cs="宋体"/>
                <w:color w:val="000000"/>
                <w:kern w:val="0"/>
                <w:sz w:val="22"/>
                <w:szCs w:val="22"/>
              </w:rPr>
            </w:pPr>
          </w:p>
        </w:tc>
        <w:tc>
          <w:tcPr>
            <w:tcW w:w="567"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559"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渡口建设</w:t>
            </w:r>
          </w:p>
        </w:tc>
        <w:tc>
          <w:tcPr>
            <w:tcW w:w="2273"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6道</w:t>
            </w:r>
          </w:p>
        </w:tc>
        <w:tc>
          <w:tcPr>
            <w:tcW w:w="704"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2016</w:t>
            </w:r>
          </w:p>
        </w:tc>
        <w:tc>
          <w:tcPr>
            <w:tcW w:w="678"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2018</w:t>
            </w:r>
          </w:p>
        </w:tc>
        <w:tc>
          <w:tcPr>
            <w:tcW w:w="1023"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99" w:type="dxa"/>
            <w:vMerge w:val="continue"/>
            <w:shd w:val="clear" w:color="auto" w:fill="auto"/>
            <w:vAlign w:val="center"/>
          </w:tcPr>
          <w:p>
            <w:pPr>
              <w:widowControl/>
              <w:spacing w:line="240" w:lineRule="auto"/>
              <w:jc w:val="center"/>
              <w:rPr>
                <w:rFonts w:ascii="等线" w:hAnsi="等线" w:eastAsia="等线" w:cs="宋体"/>
                <w:color w:val="000000"/>
                <w:kern w:val="0"/>
                <w:sz w:val="22"/>
                <w:szCs w:val="22"/>
              </w:rPr>
            </w:pPr>
          </w:p>
        </w:tc>
        <w:tc>
          <w:tcPr>
            <w:tcW w:w="567"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1559"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黔中便民码头</w:t>
            </w:r>
          </w:p>
        </w:tc>
        <w:tc>
          <w:tcPr>
            <w:tcW w:w="2273"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泊位1个</w:t>
            </w:r>
          </w:p>
        </w:tc>
        <w:tc>
          <w:tcPr>
            <w:tcW w:w="704"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2014</w:t>
            </w:r>
          </w:p>
        </w:tc>
        <w:tc>
          <w:tcPr>
            <w:tcW w:w="678"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2017</w:t>
            </w:r>
          </w:p>
        </w:tc>
        <w:tc>
          <w:tcPr>
            <w:tcW w:w="1023"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99" w:type="dxa"/>
            <w:vMerge w:val="continue"/>
            <w:shd w:val="clear" w:color="auto" w:fill="auto"/>
            <w:vAlign w:val="center"/>
          </w:tcPr>
          <w:p>
            <w:pPr>
              <w:widowControl/>
              <w:spacing w:line="240" w:lineRule="auto"/>
              <w:jc w:val="center"/>
              <w:rPr>
                <w:rFonts w:ascii="等线" w:hAnsi="等线" w:eastAsia="等线" w:cs="宋体"/>
                <w:color w:val="000000"/>
                <w:kern w:val="0"/>
                <w:sz w:val="22"/>
                <w:szCs w:val="22"/>
              </w:rPr>
            </w:pPr>
          </w:p>
        </w:tc>
        <w:tc>
          <w:tcPr>
            <w:tcW w:w="567"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559"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王城码头</w:t>
            </w:r>
          </w:p>
        </w:tc>
        <w:tc>
          <w:tcPr>
            <w:tcW w:w="2273"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泊位1个</w:t>
            </w:r>
          </w:p>
        </w:tc>
        <w:tc>
          <w:tcPr>
            <w:tcW w:w="704"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2016</w:t>
            </w:r>
          </w:p>
        </w:tc>
        <w:tc>
          <w:tcPr>
            <w:tcW w:w="678"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2019</w:t>
            </w:r>
          </w:p>
        </w:tc>
        <w:tc>
          <w:tcPr>
            <w:tcW w:w="1023"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99" w:type="dxa"/>
            <w:vMerge w:val="continue"/>
            <w:shd w:val="clear" w:color="auto" w:fill="auto"/>
            <w:vAlign w:val="center"/>
          </w:tcPr>
          <w:p>
            <w:pPr>
              <w:widowControl/>
              <w:spacing w:line="240" w:lineRule="auto"/>
              <w:jc w:val="center"/>
              <w:rPr>
                <w:rFonts w:ascii="宋体" w:hAnsi="宋体" w:cs="宋体"/>
                <w:b/>
                <w:bCs/>
                <w:color w:val="000000"/>
                <w:kern w:val="0"/>
                <w:sz w:val="20"/>
                <w:szCs w:val="20"/>
              </w:rPr>
            </w:pPr>
          </w:p>
        </w:tc>
        <w:tc>
          <w:tcPr>
            <w:tcW w:w="2126" w:type="dxa"/>
            <w:gridSpan w:val="2"/>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航运建设工程</w:t>
            </w:r>
          </w:p>
        </w:tc>
        <w:tc>
          <w:tcPr>
            <w:tcW w:w="2273" w:type="dxa"/>
            <w:shd w:val="clear" w:color="auto" w:fill="auto"/>
            <w:vAlign w:val="center"/>
          </w:tcPr>
          <w:p>
            <w:pPr>
              <w:widowControl/>
              <w:spacing w:line="240" w:lineRule="auto"/>
              <w:jc w:val="center"/>
              <w:rPr>
                <w:rFonts w:ascii="宋体" w:hAnsi="宋体" w:cs="宋体"/>
                <w:color w:val="000000"/>
                <w:kern w:val="0"/>
                <w:sz w:val="20"/>
                <w:szCs w:val="20"/>
              </w:rPr>
            </w:pPr>
          </w:p>
        </w:tc>
        <w:tc>
          <w:tcPr>
            <w:tcW w:w="704" w:type="dxa"/>
            <w:shd w:val="clear" w:color="auto" w:fill="auto"/>
            <w:vAlign w:val="center"/>
          </w:tcPr>
          <w:p>
            <w:pPr>
              <w:widowControl/>
              <w:spacing w:line="240" w:lineRule="auto"/>
              <w:jc w:val="center"/>
              <w:rPr>
                <w:rFonts w:ascii="宋体" w:hAnsi="宋体" w:cs="宋体"/>
                <w:color w:val="000000"/>
                <w:kern w:val="0"/>
                <w:sz w:val="20"/>
                <w:szCs w:val="20"/>
              </w:rPr>
            </w:pPr>
          </w:p>
        </w:tc>
        <w:tc>
          <w:tcPr>
            <w:tcW w:w="678" w:type="dxa"/>
            <w:shd w:val="clear" w:color="auto" w:fill="auto"/>
            <w:vAlign w:val="center"/>
          </w:tcPr>
          <w:p>
            <w:pPr>
              <w:widowControl/>
              <w:spacing w:line="240" w:lineRule="auto"/>
              <w:jc w:val="center"/>
              <w:rPr>
                <w:rFonts w:ascii="宋体" w:hAnsi="宋体" w:cs="宋体"/>
                <w:color w:val="000000"/>
                <w:kern w:val="0"/>
                <w:sz w:val="20"/>
                <w:szCs w:val="20"/>
              </w:rPr>
            </w:pPr>
          </w:p>
        </w:tc>
        <w:tc>
          <w:tcPr>
            <w:tcW w:w="1023" w:type="dxa"/>
            <w:shd w:val="clear" w:color="auto" w:fill="auto"/>
            <w:vAlign w:val="center"/>
          </w:tcPr>
          <w:p>
            <w:pPr>
              <w:widowControl/>
              <w:spacing w:line="240" w:lineRule="auto"/>
              <w:jc w:val="center"/>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99" w:type="dxa"/>
            <w:vMerge w:val="continue"/>
            <w:shd w:val="clear" w:color="auto" w:fill="auto"/>
            <w:vAlign w:val="center"/>
          </w:tcPr>
          <w:p>
            <w:pPr>
              <w:widowControl/>
              <w:spacing w:line="240" w:lineRule="auto"/>
              <w:jc w:val="center"/>
              <w:rPr>
                <w:rFonts w:ascii="宋体" w:hAnsi="宋体" w:cs="宋体"/>
                <w:b/>
                <w:bCs/>
                <w:color w:val="000000"/>
                <w:kern w:val="0"/>
                <w:sz w:val="20"/>
                <w:szCs w:val="20"/>
              </w:rPr>
            </w:pPr>
          </w:p>
        </w:tc>
        <w:tc>
          <w:tcPr>
            <w:tcW w:w="567"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559"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阿珠库区航运建设工程</w:t>
            </w:r>
          </w:p>
        </w:tc>
        <w:tc>
          <w:tcPr>
            <w:tcW w:w="2273"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停靠点8个，泊位8个</w:t>
            </w:r>
          </w:p>
        </w:tc>
        <w:tc>
          <w:tcPr>
            <w:tcW w:w="704"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2019</w:t>
            </w:r>
          </w:p>
        </w:tc>
        <w:tc>
          <w:tcPr>
            <w:tcW w:w="678"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2022</w:t>
            </w:r>
          </w:p>
        </w:tc>
        <w:tc>
          <w:tcPr>
            <w:tcW w:w="1023"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99" w:type="dxa"/>
            <w:vMerge w:val="continue"/>
            <w:shd w:val="clear" w:color="auto" w:fill="auto"/>
            <w:vAlign w:val="center"/>
          </w:tcPr>
          <w:p>
            <w:pPr>
              <w:widowControl/>
              <w:spacing w:line="240" w:lineRule="auto"/>
              <w:jc w:val="center"/>
              <w:rPr>
                <w:rFonts w:ascii="宋体" w:hAnsi="宋体" w:cs="宋体"/>
                <w:b/>
                <w:bCs/>
                <w:color w:val="000000"/>
                <w:kern w:val="0"/>
                <w:sz w:val="20"/>
                <w:szCs w:val="20"/>
              </w:rPr>
            </w:pPr>
          </w:p>
        </w:tc>
        <w:tc>
          <w:tcPr>
            <w:tcW w:w="2126" w:type="dxa"/>
            <w:gridSpan w:val="2"/>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港区、通航设施等其他工程</w:t>
            </w:r>
          </w:p>
        </w:tc>
        <w:tc>
          <w:tcPr>
            <w:tcW w:w="2273" w:type="dxa"/>
            <w:shd w:val="clear" w:color="auto" w:fill="auto"/>
            <w:vAlign w:val="center"/>
          </w:tcPr>
          <w:p>
            <w:pPr>
              <w:widowControl/>
              <w:spacing w:line="240" w:lineRule="auto"/>
              <w:jc w:val="center"/>
              <w:rPr>
                <w:rFonts w:ascii="宋体" w:hAnsi="宋体" w:cs="宋体"/>
                <w:color w:val="000000"/>
                <w:kern w:val="0"/>
                <w:sz w:val="20"/>
                <w:szCs w:val="20"/>
              </w:rPr>
            </w:pPr>
          </w:p>
        </w:tc>
        <w:tc>
          <w:tcPr>
            <w:tcW w:w="704" w:type="dxa"/>
            <w:shd w:val="clear" w:color="auto" w:fill="auto"/>
            <w:vAlign w:val="center"/>
          </w:tcPr>
          <w:p>
            <w:pPr>
              <w:widowControl/>
              <w:spacing w:line="240" w:lineRule="auto"/>
              <w:jc w:val="center"/>
              <w:rPr>
                <w:rFonts w:ascii="宋体" w:hAnsi="宋体" w:cs="宋体"/>
                <w:color w:val="000000"/>
                <w:kern w:val="0"/>
                <w:sz w:val="20"/>
                <w:szCs w:val="20"/>
              </w:rPr>
            </w:pPr>
          </w:p>
        </w:tc>
        <w:tc>
          <w:tcPr>
            <w:tcW w:w="678" w:type="dxa"/>
            <w:shd w:val="clear" w:color="auto" w:fill="auto"/>
            <w:vAlign w:val="center"/>
          </w:tcPr>
          <w:p>
            <w:pPr>
              <w:widowControl/>
              <w:spacing w:line="240" w:lineRule="auto"/>
              <w:jc w:val="center"/>
              <w:rPr>
                <w:rFonts w:ascii="宋体" w:hAnsi="宋体" w:cs="宋体"/>
                <w:color w:val="000000"/>
                <w:kern w:val="0"/>
                <w:sz w:val="20"/>
                <w:szCs w:val="20"/>
              </w:rPr>
            </w:pPr>
          </w:p>
        </w:tc>
        <w:tc>
          <w:tcPr>
            <w:tcW w:w="1023" w:type="dxa"/>
            <w:shd w:val="clear" w:color="auto" w:fill="auto"/>
            <w:vAlign w:val="center"/>
          </w:tcPr>
          <w:p>
            <w:pPr>
              <w:widowControl/>
              <w:spacing w:line="240" w:lineRule="auto"/>
              <w:jc w:val="center"/>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99" w:type="dxa"/>
            <w:vMerge w:val="restart"/>
            <w:shd w:val="clear" w:color="auto" w:fill="auto"/>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在建项目</w:t>
            </w:r>
          </w:p>
        </w:tc>
        <w:tc>
          <w:tcPr>
            <w:tcW w:w="567"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559"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王城码头服务区</w:t>
            </w:r>
          </w:p>
        </w:tc>
        <w:tc>
          <w:tcPr>
            <w:tcW w:w="2273" w:type="dxa"/>
            <w:shd w:val="clear" w:color="auto" w:fill="auto"/>
            <w:vAlign w:val="center"/>
          </w:tcPr>
          <w:p>
            <w:pPr>
              <w:widowControl/>
              <w:spacing w:line="240" w:lineRule="auto"/>
              <w:jc w:val="center"/>
              <w:rPr>
                <w:rFonts w:ascii="宋体" w:hAnsi="宋体" w:cs="宋体"/>
                <w:color w:val="000000"/>
                <w:kern w:val="0"/>
                <w:sz w:val="20"/>
                <w:szCs w:val="20"/>
              </w:rPr>
            </w:pPr>
          </w:p>
        </w:tc>
        <w:tc>
          <w:tcPr>
            <w:tcW w:w="704"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2018</w:t>
            </w:r>
          </w:p>
        </w:tc>
        <w:tc>
          <w:tcPr>
            <w:tcW w:w="678"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2021</w:t>
            </w:r>
          </w:p>
        </w:tc>
        <w:tc>
          <w:tcPr>
            <w:tcW w:w="1023"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99" w:type="dxa"/>
            <w:vMerge w:val="continue"/>
            <w:shd w:val="clear" w:color="auto" w:fill="auto"/>
            <w:vAlign w:val="center"/>
          </w:tcPr>
          <w:p>
            <w:pPr>
              <w:widowControl/>
              <w:spacing w:line="240" w:lineRule="auto"/>
              <w:jc w:val="center"/>
              <w:rPr>
                <w:rFonts w:ascii="等线" w:hAnsi="等线" w:eastAsia="等线" w:cs="宋体"/>
                <w:color w:val="000000"/>
                <w:kern w:val="0"/>
                <w:sz w:val="22"/>
                <w:szCs w:val="22"/>
              </w:rPr>
            </w:pPr>
          </w:p>
        </w:tc>
        <w:tc>
          <w:tcPr>
            <w:tcW w:w="567"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559"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云上牂牁码头</w:t>
            </w:r>
          </w:p>
        </w:tc>
        <w:tc>
          <w:tcPr>
            <w:tcW w:w="2273"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潜艇码头，泊位1个</w:t>
            </w:r>
          </w:p>
        </w:tc>
        <w:tc>
          <w:tcPr>
            <w:tcW w:w="704"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2019</w:t>
            </w:r>
          </w:p>
        </w:tc>
        <w:tc>
          <w:tcPr>
            <w:tcW w:w="678"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2023</w:t>
            </w:r>
          </w:p>
        </w:tc>
        <w:tc>
          <w:tcPr>
            <w:tcW w:w="1023" w:type="dxa"/>
            <w:shd w:val="clear" w:color="auto" w:fill="auto"/>
            <w:vAlign w:val="center"/>
          </w:tcPr>
          <w:p>
            <w:pPr>
              <w:widowControl/>
              <w:spacing w:line="240" w:lineRule="auto"/>
              <w:jc w:val="center"/>
              <w:rPr>
                <w:rFonts w:ascii="宋体" w:hAnsi="宋体" w:cs="宋体"/>
                <w:color w:val="000000"/>
                <w:kern w:val="0"/>
                <w:sz w:val="20"/>
                <w:szCs w:val="20"/>
              </w:rPr>
            </w:pPr>
            <w:r>
              <w:rPr>
                <w:rFonts w:hint="eastAsia" w:ascii="宋体" w:hAnsi="宋体" w:cs="宋体"/>
                <w:color w:val="000000"/>
                <w:kern w:val="0"/>
                <w:sz w:val="20"/>
                <w:szCs w:val="20"/>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99" w:type="dxa"/>
            <w:shd w:val="clear" w:color="auto" w:fill="auto"/>
            <w:vAlign w:val="center"/>
          </w:tcPr>
          <w:p>
            <w:pPr>
              <w:widowControl/>
              <w:spacing w:line="240" w:lineRule="auto"/>
              <w:jc w:val="center"/>
              <w:rPr>
                <w:rFonts w:ascii="宋体" w:hAnsi="宋体" w:cs="宋体"/>
                <w:b/>
                <w:bCs/>
                <w:color w:val="000000"/>
                <w:kern w:val="0"/>
                <w:sz w:val="20"/>
                <w:szCs w:val="20"/>
              </w:rPr>
            </w:pPr>
          </w:p>
        </w:tc>
        <w:tc>
          <w:tcPr>
            <w:tcW w:w="2126" w:type="dxa"/>
            <w:gridSpan w:val="2"/>
            <w:shd w:val="clear" w:color="auto" w:fill="auto"/>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合计</w:t>
            </w:r>
          </w:p>
        </w:tc>
        <w:tc>
          <w:tcPr>
            <w:tcW w:w="2273" w:type="dxa"/>
            <w:shd w:val="clear" w:color="auto" w:fill="auto"/>
            <w:vAlign w:val="center"/>
          </w:tcPr>
          <w:p>
            <w:pPr>
              <w:widowControl/>
              <w:spacing w:line="240" w:lineRule="auto"/>
              <w:jc w:val="center"/>
              <w:rPr>
                <w:rFonts w:ascii="宋体" w:hAnsi="宋体" w:cs="宋体"/>
                <w:b/>
                <w:bCs/>
                <w:color w:val="000000"/>
                <w:kern w:val="0"/>
                <w:sz w:val="20"/>
                <w:szCs w:val="20"/>
              </w:rPr>
            </w:pPr>
          </w:p>
        </w:tc>
        <w:tc>
          <w:tcPr>
            <w:tcW w:w="704" w:type="dxa"/>
            <w:shd w:val="clear" w:color="auto" w:fill="auto"/>
            <w:vAlign w:val="center"/>
          </w:tcPr>
          <w:p>
            <w:pPr>
              <w:widowControl/>
              <w:spacing w:line="240" w:lineRule="auto"/>
              <w:jc w:val="center"/>
              <w:rPr>
                <w:rFonts w:ascii="宋体" w:hAnsi="宋体" w:cs="宋体"/>
                <w:b/>
                <w:bCs/>
                <w:color w:val="000000"/>
                <w:kern w:val="0"/>
                <w:sz w:val="20"/>
                <w:szCs w:val="20"/>
              </w:rPr>
            </w:pPr>
          </w:p>
        </w:tc>
        <w:tc>
          <w:tcPr>
            <w:tcW w:w="678" w:type="dxa"/>
            <w:shd w:val="clear" w:color="auto" w:fill="auto"/>
            <w:vAlign w:val="center"/>
          </w:tcPr>
          <w:p>
            <w:pPr>
              <w:widowControl/>
              <w:spacing w:line="240" w:lineRule="auto"/>
              <w:jc w:val="center"/>
              <w:rPr>
                <w:rFonts w:ascii="宋体" w:hAnsi="宋体" w:cs="宋体"/>
                <w:b/>
                <w:bCs/>
                <w:color w:val="000000"/>
                <w:kern w:val="0"/>
                <w:sz w:val="20"/>
                <w:szCs w:val="20"/>
              </w:rPr>
            </w:pPr>
          </w:p>
        </w:tc>
        <w:tc>
          <w:tcPr>
            <w:tcW w:w="1023" w:type="dxa"/>
            <w:shd w:val="clear" w:color="auto" w:fill="auto"/>
            <w:vAlign w:val="center"/>
          </w:tcPr>
          <w:p>
            <w:pPr>
              <w:widowControl/>
              <w:spacing w:line="240" w:lineRule="auto"/>
              <w:jc w:val="center"/>
              <w:rPr>
                <w:rFonts w:ascii="宋体" w:hAnsi="宋体" w:cs="宋体"/>
                <w:b/>
                <w:bCs/>
                <w:color w:val="000000"/>
                <w:kern w:val="0"/>
                <w:sz w:val="20"/>
                <w:szCs w:val="20"/>
              </w:rPr>
            </w:pPr>
            <w:r>
              <w:rPr>
                <w:rFonts w:hint="eastAsia" w:ascii="宋体" w:hAnsi="宋体" w:cs="宋体"/>
                <w:b/>
                <w:bCs/>
                <w:color w:val="000000"/>
                <w:kern w:val="0"/>
                <w:sz w:val="20"/>
                <w:szCs w:val="20"/>
              </w:rPr>
              <w:t>3.88</w:t>
            </w:r>
          </w:p>
        </w:tc>
      </w:tr>
    </w:tbl>
    <w:p>
      <w:pPr>
        <w:pStyle w:val="6"/>
        <w:rPr>
          <w:rFonts w:asciiTheme="majorEastAsia" w:hAnsiTheme="majorEastAsia" w:eastAsiaTheme="majorEastAsia"/>
        </w:rPr>
      </w:pPr>
      <w:r>
        <w:rPr>
          <w:rFonts w:hint="eastAsia" w:asciiTheme="majorEastAsia" w:hAnsiTheme="majorEastAsia" w:eastAsiaTheme="majorEastAsia"/>
        </w:rPr>
        <w:t>（五）加快枢纽站场建设，推动基础设施实现互联互通</w:t>
      </w:r>
    </w:p>
    <w:p>
      <w:pPr>
        <w:ind w:firstLine="560" w:firstLineChars="200"/>
        <w:rPr>
          <w:rFonts w:asciiTheme="majorEastAsia" w:hAnsiTheme="majorEastAsia" w:eastAsiaTheme="majorEastAsia"/>
          <w:kern w:val="0"/>
          <w:szCs w:val="28"/>
        </w:rPr>
      </w:pPr>
      <w:r>
        <w:rPr>
          <w:rFonts w:asciiTheme="majorEastAsia" w:hAnsiTheme="majorEastAsia" w:eastAsiaTheme="majorEastAsia"/>
          <w:kern w:val="0"/>
          <w:szCs w:val="28"/>
        </w:rPr>
        <w:t>“十三五”期间，</w:t>
      </w:r>
      <w:r>
        <w:rPr>
          <w:rFonts w:hint="eastAsia" w:asciiTheme="majorEastAsia" w:hAnsiTheme="majorEastAsia" w:eastAsiaTheme="majorEastAsia"/>
          <w:kern w:val="0"/>
          <w:szCs w:val="28"/>
        </w:rPr>
        <w:t>客运站点覆盖全面提高。全市道路运输客货站场建设完成固定资产投资约为</w:t>
      </w:r>
      <w:r>
        <w:rPr>
          <w:rFonts w:asciiTheme="majorEastAsia" w:hAnsiTheme="majorEastAsia" w:eastAsiaTheme="majorEastAsia"/>
          <w:kern w:val="0"/>
          <w:szCs w:val="28"/>
        </w:rPr>
        <w:t>10.3</w:t>
      </w:r>
      <w:r>
        <w:rPr>
          <w:rFonts w:hint="eastAsia" w:asciiTheme="majorEastAsia" w:hAnsiTheme="majorEastAsia" w:eastAsiaTheme="majorEastAsia"/>
          <w:kern w:val="0"/>
          <w:szCs w:val="28"/>
        </w:rPr>
        <w:t>亿元，建成二级客运站1个，农村乡镇客运站14个，乡镇客运站覆盖率1</w:t>
      </w:r>
      <w:r>
        <w:rPr>
          <w:rFonts w:asciiTheme="majorEastAsia" w:hAnsiTheme="majorEastAsia" w:eastAsiaTheme="majorEastAsia"/>
          <w:kern w:val="0"/>
          <w:szCs w:val="28"/>
        </w:rPr>
        <w:t>00%</w:t>
      </w:r>
      <w:r>
        <w:rPr>
          <w:rFonts w:hint="eastAsia" w:asciiTheme="majorEastAsia" w:hAnsiTheme="majorEastAsia" w:eastAsiaTheme="majorEastAsia"/>
          <w:kern w:val="0"/>
          <w:szCs w:val="28"/>
        </w:rPr>
        <w:t>。全市运输枢纽及汽车场站主要实施了客运枢纽、货运枢纽、县级客运站、乡镇客运站。</w:t>
      </w:r>
      <w:r>
        <w:rPr>
          <w:rFonts w:asciiTheme="majorEastAsia" w:hAnsiTheme="majorEastAsia" w:eastAsiaTheme="majorEastAsia"/>
          <w:kern w:val="0"/>
          <w:szCs w:val="28"/>
        </w:rPr>
        <w:t>从项目的实施情况来看，“十三五”期间，全</w:t>
      </w:r>
      <w:r>
        <w:rPr>
          <w:rFonts w:hint="eastAsia" w:asciiTheme="majorEastAsia" w:hAnsiTheme="majorEastAsia" w:eastAsiaTheme="majorEastAsia"/>
          <w:kern w:val="0"/>
          <w:szCs w:val="28"/>
        </w:rPr>
        <w:t>市</w:t>
      </w:r>
      <w:r>
        <w:rPr>
          <w:rFonts w:asciiTheme="majorEastAsia" w:hAnsiTheme="majorEastAsia" w:eastAsiaTheme="majorEastAsia"/>
          <w:kern w:val="0"/>
          <w:szCs w:val="28"/>
        </w:rPr>
        <w:t>建设各类客运站或开展客运站前期工作共</w:t>
      </w:r>
      <w:r>
        <w:rPr>
          <w:rFonts w:hint="eastAsia" w:asciiTheme="majorEastAsia" w:hAnsiTheme="majorEastAsia" w:eastAsiaTheme="majorEastAsia"/>
          <w:kern w:val="0"/>
          <w:szCs w:val="28"/>
        </w:rPr>
        <w:t>21</w:t>
      </w:r>
      <w:r>
        <w:rPr>
          <w:rFonts w:asciiTheme="majorEastAsia" w:hAnsiTheme="majorEastAsia" w:eastAsiaTheme="majorEastAsia"/>
          <w:kern w:val="0"/>
          <w:szCs w:val="28"/>
        </w:rPr>
        <w:t>个，其中客运</w:t>
      </w:r>
      <w:r>
        <w:rPr>
          <w:rFonts w:hint="eastAsia" w:asciiTheme="majorEastAsia" w:hAnsiTheme="majorEastAsia" w:eastAsiaTheme="majorEastAsia"/>
          <w:kern w:val="0"/>
          <w:szCs w:val="28"/>
        </w:rPr>
        <w:t>枢纽2</w:t>
      </w:r>
      <w:r>
        <w:rPr>
          <w:rFonts w:asciiTheme="majorEastAsia" w:hAnsiTheme="majorEastAsia" w:eastAsiaTheme="majorEastAsia"/>
          <w:kern w:val="0"/>
          <w:szCs w:val="28"/>
        </w:rPr>
        <w:t>个、</w:t>
      </w:r>
      <w:r>
        <w:rPr>
          <w:rFonts w:hint="eastAsia" w:asciiTheme="majorEastAsia" w:hAnsiTheme="majorEastAsia" w:eastAsiaTheme="majorEastAsia"/>
          <w:kern w:val="0"/>
          <w:szCs w:val="28"/>
        </w:rPr>
        <w:t>货运枢纽2个、</w:t>
      </w:r>
      <w:r>
        <w:rPr>
          <w:rFonts w:asciiTheme="majorEastAsia" w:hAnsiTheme="majorEastAsia" w:eastAsiaTheme="majorEastAsia"/>
          <w:kern w:val="0"/>
          <w:szCs w:val="28"/>
        </w:rPr>
        <w:t>县级客运站</w:t>
      </w:r>
      <w:r>
        <w:rPr>
          <w:rFonts w:hint="eastAsia" w:asciiTheme="majorEastAsia" w:hAnsiTheme="majorEastAsia" w:eastAsiaTheme="majorEastAsia"/>
          <w:kern w:val="0"/>
          <w:szCs w:val="28"/>
        </w:rPr>
        <w:t>2</w:t>
      </w:r>
      <w:r>
        <w:rPr>
          <w:rFonts w:asciiTheme="majorEastAsia" w:hAnsiTheme="majorEastAsia" w:eastAsiaTheme="majorEastAsia"/>
          <w:kern w:val="0"/>
          <w:szCs w:val="28"/>
        </w:rPr>
        <w:t>个、</w:t>
      </w:r>
      <w:r>
        <w:rPr>
          <w:rFonts w:hint="eastAsia" w:asciiTheme="majorEastAsia" w:hAnsiTheme="majorEastAsia" w:eastAsiaTheme="majorEastAsia"/>
          <w:kern w:val="0"/>
          <w:szCs w:val="28"/>
        </w:rPr>
        <w:t>乡镇客运</w:t>
      </w:r>
      <w:r>
        <w:rPr>
          <w:rFonts w:asciiTheme="majorEastAsia" w:hAnsiTheme="majorEastAsia" w:eastAsiaTheme="majorEastAsia"/>
          <w:kern w:val="0"/>
          <w:szCs w:val="28"/>
        </w:rPr>
        <w:t>站</w:t>
      </w:r>
      <w:r>
        <w:rPr>
          <w:rFonts w:hint="eastAsia" w:asciiTheme="majorEastAsia" w:hAnsiTheme="majorEastAsia" w:eastAsiaTheme="majorEastAsia"/>
          <w:kern w:val="0"/>
          <w:szCs w:val="28"/>
        </w:rPr>
        <w:t>15</w:t>
      </w:r>
      <w:r>
        <w:rPr>
          <w:rFonts w:asciiTheme="majorEastAsia" w:hAnsiTheme="majorEastAsia" w:eastAsiaTheme="majorEastAsia"/>
          <w:kern w:val="0"/>
          <w:szCs w:val="28"/>
        </w:rPr>
        <w:t>个</w:t>
      </w:r>
      <w:r>
        <w:rPr>
          <w:rFonts w:hint="eastAsia" w:asciiTheme="majorEastAsia" w:hAnsiTheme="majorEastAsia" w:eastAsiaTheme="majorEastAsia"/>
          <w:kern w:val="0"/>
          <w:szCs w:val="28"/>
        </w:rPr>
        <w:t>，</w:t>
      </w:r>
      <w:r>
        <w:rPr>
          <w:rFonts w:asciiTheme="majorEastAsia" w:hAnsiTheme="majorEastAsia" w:eastAsiaTheme="majorEastAsia"/>
          <w:kern w:val="0"/>
          <w:szCs w:val="28"/>
        </w:rPr>
        <w:t>总投资</w:t>
      </w:r>
      <w:r>
        <w:rPr>
          <w:rFonts w:hint="eastAsia" w:asciiTheme="majorEastAsia" w:hAnsiTheme="majorEastAsia" w:eastAsiaTheme="majorEastAsia"/>
          <w:kern w:val="0"/>
          <w:szCs w:val="28"/>
        </w:rPr>
        <w:t>6</w:t>
      </w:r>
      <w:r>
        <w:rPr>
          <w:rFonts w:asciiTheme="majorEastAsia" w:hAnsiTheme="majorEastAsia" w:eastAsiaTheme="majorEastAsia"/>
          <w:kern w:val="0"/>
          <w:szCs w:val="28"/>
        </w:rPr>
        <w:t>亿元。</w:t>
      </w:r>
    </w:p>
    <w:p>
      <w:pPr>
        <w:ind w:firstLine="482"/>
        <w:jc w:val="center"/>
        <w:rPr>
          <w:rFonts w:asciiTheme="majorEastAsia" w:hAnsiTheme="majorEastAsia" w:eastAsiaTheme="majorEastAsia"/>
          <w:b/>
          <w:sz w:val="24"/>
        </w:rPr>
      </w:pPr>
      <w:r>
        <w:rPr>
          <w:rFonts w:asciiTheme="majorEastAsia" w:hAnsiTheme="majorEastAsia" w:eastAsiaTheme="majorEastAsia"/>
          <w:b/>
          <w:sz w:val="24"/>
        </w:rPr>
        <w:t>表2-6  “十三五”运输场站建设方案表</w:t>
      </w:r>
    </w:p>
    <w:tbl>
      <w:tblPr>
        <w:tblStyle w:val="19"/>
        <w:tblW w:w="8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645"/>
        <w:gridCol w:w="1536"/>
        <w:gridCol w:w="665"/>
        <w:gridCol w:w="1264"/>
        <w:gridCol w:w="710"/>
        <w:gridCol w:w="636"/>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restart"/>
            <w:shd w:val="clear" w:color="auto" w:fill="auto"/>
            <w:vAlign w:val="center"/>
          </w:tcPr>
          <w:p>
            <w:pPr>
              <w:widowControl/>
              <w:spacing w:line="240" w:lineRule="auto"/>
              <w:jc w:val="center"/>
              <w:rPr>
                <w:rFonts w:cs="宋体" w:asciiTheme="majorEastAsia" w:hAnsiTheme="majorEastAsia" w:eastAsiaTheme="majorEastAsia"/>
                <w:b/>
                <w:bCs/>
                <w:kern w:val="0"/>
                <w:sz w:val="20"/>
                <w:szCs w:val="20"/>
              </w:rPr>
            </w:pPr>
            <w:r>
              <w:rPr>
                <w:rFonts w:hint="eastAsia" w:cs="宋体" w:asciiTheme="majorEastAsia" w:hAnsiTheme="majorEastAsia" w:eastAsiaTheme="majorEastAsia"/>
                <w:b/>
                <w:bCs/>
                <w:kern w:val="0"/>
                <w:sz w:val="20"/>
                <w:szCs w:val="20"/>
              </w:rPr>
              <w:t>序号</w:t>
            </w:r>
          </w:p>
        </w:tc>
        <w:tc>
          <w:tcPr>
            <w:tcW w:w="1645" w:type="dxa"/>
            <w:vMerge w:val="restart"/>
            <w:shd w:val="clear" w:color="auto" w:fill="auto"/>
            <w:vAlign w:val="center"/>
          </w:tcPr>
          <w:p>
            <w:pPr>
              <w:widowControl/>
              <w:spacing w:line="240" w:lineRule="auto"/>
              <w:jc w:val="center"/>
              <w:rPr>
                <w:rFonts w:cs="宋体" w:asciiTheme="majorEastAsia" w:hAnsiTheme="majorEastAsia" w:eastAsiaTheme="majorEastAsia"/>
                <w:b/>
                <w:bCs/>
                <w:kern w:val="0"/>
                <w:sz w:val="20"/>
                <w:szCs w:val="20"/>
              </w:rPr>
            </w:pPr>
            <w:r>
              <w:rPr>
                <w:rFonts w:hint="eastAsia" w:cs="宋体" w:asciiTheme="majorEastAsia" w:hAnsiTheme="majorEastAsia" w:eastAsiaTheme="majorEastAsia"/>
                <w:b/>
                <w:bCs/>
                <w:kern w:val="0"/>
                <w:sz w:val="20"/>
                <w:szCs w:val="20"/>
              </w:rPr>
              <w:t>项目名称</w:t>
            </w:r>
          </w:p>
        </w:tc>
        <w:tc>
          <w:tcPr>
            <w:tcW w:w="1536" w:type="dxa"/>
            <w:vMerge w:val="restart"/>
            <w:shd w:val="clear" w:color="auto" w:fill="auto"/>
            <w:vAlign w:val="center"/>
          </w:tcPr>
          <w:p>
            <w:pPr>
              <w:widowControl/>
              <w:spacing w:line="240" w:lineRule="auto"/>
              <w:jc w:val="center"/>
              <w:rPr>
                <w:rFonts w:cs="宋体" w:asciiTheme="majorEastAsia" w:hAnsiTheme="majorEastAsia" w:eastAsiaTheme="majorEastAsia"/>
                <w:b/>
                <w:bCs/>
                <w:kern w:val="0"/>
                <w:sz w:val="20"/>
                <w:szCs w:val="20"/>
              </w:rPr>
            </w:pPr>
            <w:r>
              <w:rPr>
                <w:rFonts w:hint="eastAsia" w:cs="宋体" w:asciiTheme="majorEastAsia" w:hAnsiTheme="majorEastAsia" w:eastAsiaTheme="majorEastAsia"/>
                <w:b/>
                <w:bCs/>
                <w:kern w:val="0"/>
                <w:sz w:val="20"/>
                <w:szCs w:val="20"/>
              </w:rPr>
              <w:t>项目地点</w:t>
            </w:r>
          </w:p>
        </w:tc>
        <w:tc>
          <w:tcPr>
            <w:tcW w:w="665" w:type="dxa"/>
            <w:vMerge w:val="restart"/>
            <w:shd w:val="clear" w:color="auto" w:fill="auto"/>
            <w:vAlign w:val="center"/>
          </w:tcPr>
          <w:p>
            <w:pPr>
              <w:widowControl/>
              <w:spacing w:line="240" w:lineRule="auto"/>
              <w:jc w:val="center"/>
              <w:rPr>
                <w:rFonts w:cs="宋体" w:asciiTheme="majorEastAsia" w:hAnsiTheme="majorEastAsia" w:eastAsiaTheme="majorEastAsia"/>
                <w:b/>
                <w:bCs/>
                <w:kern w:val="0"/>
                <w:sz w:val="20"/>
                <w:szCs w:val="20"/>
              </w:rPr>
            </w:pPr>
            <w:r>
              <w:rPr>
                <w:rFonts w:hint="eastAsia" w:cs="宋体" w:asciiTheme="majorEastAsia" w:hAnsiTheme="majorEastAsia" w:eastAsiaTheme="majorEastAsia"/>
                <w:b/>
                <w:bCs/>
                <w:kern w:val="0"/>
                <w:sz w:val="20"/>
                <w:szCs w:val="20"/>
              </w:rPr>
              <w:t>建设性质</w:t>
            </w:r>
          </w:p>
        </w:tc>
        <w:tc>
          <w:tcPr>
            <w:tcW w:w="1264" w:type="dxa"/>
            <w:vMerge w:val="restart"/>
            <w:shd w:val="clear" w:color="auto" w:fill="auto"/>
            <w:vAlign w:val="center"/>
          </w:tcPr>
          <w:p>
            <w:pPr>
              <w:widowControl/>
              <w:spacing w:line="240" w:lineRule="auto"/>
              <w:jc w:val="center"/>
              <w:rPr>
                <w:rFonts w:cs="宋体" w:asciiTheme="majorEastAsia" w:hAnsiTheme="majorEastAsia" w:eastAsiaTheme="majorEastAsia"/>
                <w:b/>
                <w:bCs/>
                <w:kern w:val="0"/>
                <w:sz w:val="20"/>
                <w:szCs w:val="20"/>
              </w:rPr>
            </w:pPr>
            <w:r>
              <w:rPr>
                <w:rFonts w:hint="eastAsia" w:cs="宋体" w:asciiTheme="majorEastAsia" w:hAnsiTheme="majorEastAsia" w:eastAsiaTheme="majorEastAsia"/>
                <w:b/>
                <w:bCs/>
                <w:kern w:val="0"/>
                <w:sz w:val="20"/>
                <w:szCs w:val="20"/>
              </w:rPr>
              <w:t>等级</w:t>
            </w:r>
          </w:p>
        </w:tc>
        <w:tc>
          <w:tcPr>
            <w:tcW w:w="1346" w:type="dxa"/>
            <w:gridSpan w:val="2"/>
            <w:vMerge w:val="restart"/>
            <w:shd w:val="clear" w:color="auto" w:fill="auto"/>
            <w:vAlign w:val="center"/>
          </w:tcPr>
          <w:p>
            <w:pPr>
              <w:widowControl/>
              <w:spacing w:line="240" w:lineRule="auto"/>
              <w:jc w:val="center"/>
              <w:rPr>
                <w:rFonts w:cs="宋体" w:asciiTheme="majorEastAsia" w:hAnsiTheme="majorEastAsia" w:eastAsiaTheme="majorEastAsia"/>
                <w:b/>
                <w:bCs/>
                <w:kern w:val="0"/>
                <w:sz w:val="20"/>
                <w:szCs w:val="20"/>
              </w:rPr>
            </w:pPr>
            <w:r>
              <w:rPr>
                <w:rFonts w:hint="eastAsia" w:cs="宋体" w:asciiTheme="majorEastAsia" w:hAnsiTheme="majorEastAsia" w:eastAsiaTheme="majorEastAsia"/>
                <w:b/>
                <w:bCs/>
                <w:kern w:val="0"/>
                <w:sz w:val="20"/>
                <w:szCs w:val="20"/>
              </w:rPr>
              <w:t>建设起止年限</w:t>
            </w:r>
          </w:p>
        </w:tc>
        <w:tc>
          <w:tcPr>
            <w:tcW w:w="981" w:type="dxa"/>
            <w:vMerge w:val="restart"/>
            <w:shd w:val="clear" w:color="auto" w:fill="auto"/>
            <w:vAlign w:val="center"/>
          </w:tcPr>
          <w:p>
            <w:pPr>
              <w:widowControl/>
              <w:spacing w:line="240" w:lineRule="auto"/>
              <w:jc w:val="center"/>
              <w:rPr>
                <w:rFonts w:cs="宋体" w:asciiTheme="majorEastAsia" w:hAnsiTheme="majorEastAsia" w:eastAsiaTheme="majorEastAsia"/>
                <w:b/>
                <w:bCs/>
                <w:kern w:val="0"/>
                <w:sz w:val="20"/>
                <w:szCs w:val="20"/>
              </w:rPr>
            </w:pPr>
            <w:r>
              <w:rPr>
                <w:rFonts w:hint="eastAsia" w:cs="宋体" w:asciiTheme="majorEastAsia" w:hAnsiTheme="majorEastAsia" w:eastAsiaTheme="majorEastAsia"/>
                <w:b/>
                <w:bCs/>
                <w:kern w:val="0"/>
                <w:sz w:val="20"/>
                <w:szCs w:val="20"/>
              </w:rPr>
              <w:t>总投资(万元)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38" w:type="dxa"/>
            <w:vMerge w:val="continue"/>
            <w:vAlign w:val="center"/>
          </w:tcPr>
          <w:p>
            <w:pPr>
              <w:widowControl/>
              <w:spacing w:line="240" w:lineRule="auto"/>
              <w:jc w:val="left"/>
              <w:rPr>
                <w:rFonts w:cs="宋体" w:asciiTheme="majorEastAsia" w:hAnsiTheme="majorEastAsia" w:eastAsiaTheme="majorEastAsia"/>
                <w:b/>
                <w:bCs/>
                <w:kern w:val="0"/>
                <w:sz w:val="20"/>
                <w:szCs w:val="20"/>
              </w:rPr>
            </w:pPr>
          </w:p>
        </w:tc>
        <w:tc>
          <w:tcPr>
            <w:tcW w:w="1645" w:type="dxa"/>
            <w:vMerge w:val="continue"/>
            <w:vAlign w:val="center"/>
          </w:tcPr>
          <w:p>
            <w:pPr>
              <w:widowControl/>
              <w:spacing w:line="240" w:lineRule="auto"/>
              <w:jc w:val="left"/>
              <w:rPr>
                <w:rFonts w:cs="宋体" w:asciiTheme="majorEastAsia" w:hAnsiTheme="majorEastAsia" w:eastAsiaTheme="majorEastAsia"/>
                <w:b/>
                <w:bCs/>
                <w:kern w:val="0"/>
                <w:sz w:val="20"/>
                <w:szCs w:val="20"/>
              </w:rPr>
            </w:pPr>
          </w:p>
        </w:tc>
        <w:tc>
          <w:tcPr>
            <w:tcW w:w="1536" w:type="dxa"/>
            <w:vMerge w:val="continue"/>
            <w:vAlign w:val="center"/>
          </w:tcPr>
          <w:p>
            <w:pPr>
              <w:widowControl/>
              <w:spacing w:line="240" w:lineRule="auto"/>
              <w:jc w:val="left"/>
              <w:rPr>
                <w:rFonts w:cs="宋体" w:asciiTheme="majorEastAsia" w:hAnsiTheme="majorEastAsia" w:eastAsiaTheme="majorEastAsia"/>
                <w:b/>
                <w:bCs/>
                <w:kern w:val="0"/>
                <w:sz w:val="20"/>
                <w:szCs w:val="20"/>
              </w:rPr>
            </w:pPr>
          </w:p>
        </w:tc>
        <w:tc>
          <w:tcPr>
            <w:tcW w:w="665" w:type="dxa"/>
            <w:vMerge w:val="continue"/>
            <w:vAlign w:val="center"/>
          </w:tcPr>
          <w:p>
            <w:pPr>
              <w:widowControl/>
              <w:spacing w:line="240" w:lineRule="auto"/>
              <w:jc w:val="left"/>
              <w:rPr>
                <w:rFonts w:cs="宋体" w:asciiTheme="majorEastAsia" w:hAnsiTheme="majorEastAsia" w:eastAsiaTheme="majorEastAsia"/>
                <w:b/>
                <w:bCs/>
                <w:kern w:val="0"/>
                <w:sz w:val="20"/>
                <w:szCs w:val="20"/>
              </w:rPr>
            </w:pPr>
          </w:p>
        </w:tc>
        <w:tc>
          <w:tcPr>
            <w:tcW w:w="1264" w:type="dxa"/>
            <w:vMerge w:val="continue"/>
            <w:vAlign w:val="center"/>
          </w:tcPr>
          <w:p>
            <w:pPr>
              <w:widowControl/>
              <w:spacing w:line="240" w:lineRule="auto"/>
              <w:jc w:val="left"/>
              <w:rPr>
                <w:rFonts w:cs="宋体" w:asciiTheme="majorEastAsia" w:hAnsiTheme="majorEastAsia" w:eastAsiaTheme="majorEastAsia"/>
                <w:b/>
                <w:bCs/>
                <w:kern w:val="0"/>
                <w:sz w:val="20"/>
                <w:szCs w:val="20"/>
              </w:rPr>
            </w:pPr>
          </w:p>
        </w:tc>
        <w:tc>
          <w:tcPr>
            <w:tcW w:w="1346" w:type="dxa"/>
            <w:gridSpan w:val="2"/>
            <w:vMerge w:val="continue"/>
            <w:vAlign w:val="center"/>
          </w:tcPr>
          <w:p>
            <w:pPr>
              <w:widowControl/>
              <w:spacing w:line="240" w:lineRule="auto"/>
              <w:jc w:val="left"/>
              <w:rPr>
                <w:rFonts w:cs="宋体" w:asciiTheme="majorEastAsia" w:hAnsiTheme="majorEastAsia" w:eastAsiaTheme="majorEastAsia"/>
                <w:b/>
                <w:bCs/>
                <w:kern w:val="0"/>
                <w:sz w:val="20"/>
                <w:szCs w:val="20"/>
              </w:rPr>
            </w:pPr>
          </w:p>
        </w:tc>
        <w:tc>
          <w:tcPr>
            <w:tcW w:w="981" w:type="dxa"/>
            <w:vMerge w:val="continue"/>
            <w:vAlign w:val="center"/>
          </w:tcPr>
          <w:p>
            <w:pPr>
              <w:widowControl/>
              <w:spacing w:line="240" w:lineRule="auto"/>
              <w:jc w:val="left"/>
              <w:rPr>
                <w:rFonts w:cs="宋体" w:asciiTheme="majorEastAsia" w:hAnsiTheme="majorEastAsia" w:eastAsiaTheme="majorEastAsia"/>
                <w:b/>
                <w:bCs/>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638" w:type="dxa"/>
            <w:shd w:val="clear" w:color="auto" w:fill="auto"/>
            <w:vAlign w:val="center"/>
          </w:tcPr>
          <w:p>
            <w:pPr>
              <w:widowControl/>
              <w:spacing w:line="240" w:lineRule="auto"/>
              <w:jc w:val="center"/>
              <w:rPr>
                <w:rFonts w:cs="宋体" w:asciiTheme="majorEastAsia" w:hAnsiTheme="majorEastAsia" w:eastAsiaTheme="majorEastAsia"/>
                <w:b/>
                <w:bCs/>
                <w:kern w:val="0"/>
                <w:sz w:val="20"/>
                <w:szCs w:val="20"/>
              </w:rPr>
            </w:pPr>
            <w:r>
              <w:rPr>
                <w:rFonts w:hint="eastAsia" w:cs="宋体" w:asciiTheme="majorEastAsia" w:hAnsiTheme="majorEastAsia" w:eastAsiaTheme="majorEastAsia"/>
                <w:b/>
                <w:bCs/>
                <w:kern w:val="0"/>
                <w:sz w:val="20"/>
                <w:szCs w:val="20"/>
              </w:rPr>
              <w:t>一、客运枢纽</w:t>
            </w:r>
          </w:p>
        </w:tc>
        <w:tc>
          <w:tcPr>
            <w:tcW w:w="1645"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p>
        </w:tc>
        <w:tc>
          <w:tcPr>
            <w:tcW w:w="1536"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p>
        </w:tc>
        <w:tc>
          <w:tcPr>
            <w:tcW w:w="665"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p>
        </w:tc>
        <w:tc>
          <w:tcPr>
            <w:tcW w:w="1264"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p>
        </w:tc>
        <w:tc>
          <w:tcPr>
            <w:tcW w:w="1346" w:type="dxa"/>
            <w:gridSpan w:val="2"/>
            <w:shd w:val="clear" w:color="auto" w:fill="auto"/>
            <w:vAlign w:val="center"/>
          </w:tcPr>
          <w:p>
            <w:pPr>
              <w:widowControl/>
              <w:spacing w:line="240" w:lineRule="auto"/>
              <w:jc w:val="center"/>
              <w:rPr>
                <w:rFonts w:asciiTheme="majorEastAsia" w:hAnsiTheme="majorEastAsia" w:eastAsiaTheme="majorEastAsia"/>
                <w:kern w:val="0"/>
                <w:sz w:val="20"/>
                <w:szCs w:val="20"/>
              </w:rPr>
            </w:pPr>
          </w:p>
          <w:p>
            <w:pPr>
              <w:widowControl/>
              <w:spacing w:line="240" w:lineRule="auto"/>
              <w:jc w:val="center"/>
              <w:rPr>
                <w:rFonts w:asciiTheme="majorEastAsia" w:hAnsiTheme="majorEastAsia" w:eastAsiaTheme="majorEastAsia"/>
                <w:kern w:val="0"/>
                <w:sz w:val="20"/>
                <w:szCs w:val="20"/>
              </w:rPr>
            </w:pPr>
          </w:p>
        </w:tc>
        <w:tc>
          <w:tcPr>
            <w:tcW w:w="981" w:type="dxa"/>
            <w:shd w:val="clear" w:color="auto" w:fill="auto"/>
            <w:vAlign w:val="center"/>
          </w:tcPr>
          <w:p>
            <w:pPr>
              <w:widowControl/>
              <w:spacing w:line="240" w:lineRule="auto"/>
              <w:jc w:val="center"/>
              <w:rPr>
                <w:rFonts w:asciiTheme="majorEastAsia" w:hAnsiTheme="majorEastAsia" w:eastAsiaTheme="majorEastAsia"/>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638" w:type="dxa"/>
            <w:shd w:val="clear" w:color="auto" w:fill="auto"/>
            <w:vAlign w:val="center"/>
          </w:tcPr>
          <w:p>
            <w:pPr>
              <w:widowControl/>
              <w:spacing w:line="240" w:lineRule="auto"/>
              <w:jc w:val="center"/>
              <w:rPr>
                <w:rFonts w:cs="宋体" w:asciiTheme="majorEastAsia" w:hAnsiTheme="majorEastAsia" w:eastAsiaTheme="majorEastAsia"/>
                <w:b/>
                <w:bCs/>
                <w:kern w:val="0"/>
                <w:sz w:val="20"/>
                <w:szCs w:val="20"/>
              </w:rPr>
            </w:pPr>
            <w:r>
              <w:rPr>
                <w:rFonts w:hint="eastAsia" w:cs="宋体" w:asciiTheme="majorEastAsia" w:hAnsiTheme="majorEastAsia" w:eastAsiaTheme="majorEastAsia"/>
                <w:b/>
                <w:bCs/>
                <w:kern w:val="0"/>
                <w:sz w:val="20"/>
                <w:szCs w:val="20"/>
              </w:rPr>
              <w:t>1</w:t>
            </w:r>
          </w:p>
        </w:tc>
        <w:tc>
          <w:tcPr>
            <w:tcW w:w="1645"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盘州东客运站</w:t>
            </w:r>
          </w:p>
        </w:tc>
        <w:tc>
          <w:tcPr>
            <w:tcW w:w="1536"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盘州市红果经济开发区两河新区冯家庄村</w:t>
            </w:r>
          </w:p>
        </w:tc>
        <w:tc>
          <w:tcPr>
            <w:tcW w:w="665"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续建</w:t>
            </w:r>
          </w:p>
        </w:tc>
        <w:tc>
          <w:tcPr>
            <w:tcW w:w="1264"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国家一级高铁客运枢纽站</w:t>
            </w:r>
          </w:p>
        </w:tc>
        <w:tc>
          <w:tcPr>
            <w:tcW w:w="710"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 xml:space="preserve">2017 </w:t>
            </w:r>
          </w:p>
        </w:tc>
        <w:tc>
          <w:tcPr>
            <w:tcW w:w="636" w:type="dxa"/>
            <w:shd w:val="clear" w:color="auto" w:fill="auto"/>
            <w:noWrap/>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 xml:space="preserve">2021 </w:t>
            </w:r>
          </w:p>
        </w:tc>
        <w:tc>
          <w:tcPr>
            <w:tcW w:w="981"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31144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638" w:type="dxa"/>
            <w:shd w:val="clear" w:color="auto" w:fill="auto"/>
            <w:vAlign w:val="center"/>
          </w:tcPr>
          <w:p>
            <w:pPr>
              <w:widowControl/>
              <w:spacing w:line="240" w:lineRule="auto"/>
              <w:jc w:val="center"/>
              <w:rPr>
                <w:rFonts w:cs="宋体" w:asciiTheme="majorEastAsia" w:hAnsiTheme="majorEastAsia" w:eastAsiaTheme="majorEastAsia"/>
                <w:b/>
                <w:bCs/>
                <w:kern w:val="0"/>
                <w:sz w:val="20"/>
                <w:szCs w:val="20"/>
              </w:rPr>
            </w:pPr>
            <w:r>
              <w:rPr>
                <w:rFonts w:hint="eastAsia" w:cs="宋体" w:asciiTheme="majorEastAsia" w:hAnsiTheme="majorEastAsia" w:eastAsiaTheme="majorEastAsia"/>
                <w:b/>
                <w:bCs/>
                <w:kern w:val="0"/>
                <w:sz w:val="20"/>
                <w:szCs w:val="20"/>
              </w:rPr>
              <w:t>2</w:t>
            </w:r>
          </w:p>
        </w:tc>
        <w:tc>
          <w:tcPr>
            <w:tcW w:w="1645"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六盘水东客运站</w:t>
            </w:r>
          </w:p>
        </w:tc>
        <w:tc>
          <w:tcPr>
            <w:tcW w:w="1536"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水城区尖山街道（高铁站出口）</w:t>
            </w:r>
          </w:p>
        </w:tc>
        <w:tc>
          <w:tcPr>
            <w:tcW w:w="665"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收尾</w:t>
            </w:r>
          </w:p>
        </w:tc>
        <w:tc>
          <w:tcPr>
            <w:tcW w:w="1264"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二级综合客运枢纽站</w:t>
            </w:r>
          </w:p>
        </w:tc>
        <w:tc>
          <w:tcPr>
            <w:tcW w:w="710"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 xml:space="preserve">2020 </w:t>
            </w:r>
          </w:p>
        </w:tc>
        <w:tc>
          <w:tcPr>
            <w:tcW w:w="636"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 xml:space="preserve">2020 </w:t>
            </w:r>
          </w:p>
        </w:tc>
        <w:tc>
          <w:tcPr>
            <w:tcW w:w="981"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638" w:type="dxa"/>
            <w:shd w:val="clear" w:color="auto" w:fill="auto"/>
            <w:vAlign w:val="center"/>
          </w:tcPr>
          <w:p>
            <w:pPr>
              <w:widowControl/>
              <w:spacing w:line="240" w:lineRule="auto"/>
              <w:jc w:val="center"/>
              <w:rPr>
                <w:rFonts w:cs="宋体" w:asciiTheme="majorEastAsia" w:hAnsiTheme="majorEastAsia" w:eastAsiaTheme="majorEastAsia"/>
                <w:b/>
                <w:bCs/>
                <w:kern w:val="0"/>
                <w:sz w:val="20"/>
                <w:szCs w:val="20"/>
              </w:rPr>
            </w:pPr>
            <w:r>
              <w:rPr>
                <w:rFonts w:hint="eastAsia" w:cs="宋体" w:asciiTheme="majorEastAsia" w:hAnsiTheme="majorEastAsia" w:eastAsiaTheme="majorEastAsia"/>
                <w:b/>
                <w:bCs/>
                <w:kern w:val="0"/>
                <w:sz w:val="20"/>
                <w:szCs w:val="20"/>
              </w:rPr>
              <w:t>二、货运枢纽</w:t>
            </w:r>
          </w:p>
        </w:tc>
        <w:tc>
          <w:tcPr>
            <w:tcW w:w="1645"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p>
        </w:tc>
        <w:tc>
          <w:tcPr>
            <w:tcW w:w="1536"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p>
        </w:tc>
        <w:tc>
          <w:tcPr>
            <w:tcW w:w="665"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p>
        </w:tc>
        <w:tc>
          <w:tcPr>
            <w:tcW w:w="1264"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p>
        </w:tc>
        <w:tc>
          <w:tcPr>
            <w:tcW w:w="710"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p>
        </w:tc>
        <w:tc>
          <w:tcPr>
            <w:tcW w:w="636"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p>
        </w:tc>
        <w:tc>
          <w:tcPr>
            <w:tcW w:w="981"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638" w:type="dxa"/>
            <w:shd w:val="clear" w:color="auto" w:fill="auto"/>
            <w:vAlign w:val="center"/>
          </w:tcPr>
          <w:p>
            <w:pPr>
              <w:widowControl/>
              <w:spacing w:line="240" w:lineRule="auto"/>
              <w:jc w:val="center"/>
              <w:rPr>
                <w:rFonts w:cs="宋体" w:asciiTheme="majorEastAsia" w:hAnsiTheme="majorEastAsia" w:eastAsiaTheme="majorEastAsia"/>
                <w:b/>
                <w:bCs/>
                <w:kern w:val="0"/>
                <w:sz w:val="20"/>
                <w:szCs w:val="20"/>
              </w:rPr>
            </w:pPr>
            <w:r>
              <w:rPr>
                <w:rFonts w:hint="eastAsia" w:cs="宋体" w:asciiTheme="majorEastAsia" w:hAnsiTheme="majorEastAsia" w:eastAsiaTheme="majorEastAsia"/>
                <w:b/>
                <w:bCs/>
                <w:kern w:val="0"/>
                <w:sz w:val="20"/>
                <w:szCs w:val="20"/>
              </w:rPr>
              <w:t>1</w:t>
            </w:r>
          </w:p>
        </w:tc>
        <w:tc>
          <w:tcPr>
            <w:tcW w:w="1645"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 xml:space="preserve">石桥物流园 </w:t>
            </w:r>
          </w:p>
        </w:tc>
        <w:tc>
          <w:tcPr>
            <w:tcW w:w="1536"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六盘水市红桥高新区</w:t>
            </w:r>
          </w:p>
        </w:tc>
        <w:tc>
          <w:tcPr>
            <w:tcW w:w="665"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完工</w:t>
            </w:r>
          </w:p>
        </w:tc>
        <w:tc>
          <w:tcPr>
            <w:tcW w:w="1264"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p>
        </w:tc>
        <w:tc>
          <w:tcPr>
            <w:tcW w:w="710"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 xml:space="preserve">2013 </w:t>
            </w:r>
          </w:p>
        </w:tc>
        <w:tc>
          <w:tcPr>
            <w:tcW w:w="636"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 xml:space="preserve">2015 </w:t>
            </w:r>
          </w:p>
        </w:tc>
        <w:tc>
          <w:tcPr>
            <w:tcW w:w="981"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638" w:type="dxa"/>
            <w:shd w:val="clear" w:color="auto" w:fill="auto"/>
            <w:vAlign w:val="center"/>
          </w:tcPr>
          <w:p>
            <w:pPr>
              <w:widowControl/>
              <w:spacing w:line="240" w:lineRule="auto"/>
              <w:jc w:val="center"/>
              <w:rPr>
                <w:rFonts w:cs="宋体" w:asciiTheme="majorEastAsia" w:hAnsiTheme="majorEastAsia" w:eastAsiaTheme="majorEastAsia"/>
                <w:b/>
                <w:bCs/>
                <w:kern w:val="0"/>
                <w:sz w:val="20"/>
                <w:szCs w:val="20"/>
              </w:rPr>
            </w:pPr>
            <w:r>
              <w:rPr>
                <w:rFonts w:hint="eastAsia" w:cs="宋体" w:asciiTheme="majorEastAsia" w:hAnsiTheme="majorEastAsia" w:eastAsiaTheme="majorEastAsia"/>
                <w:b/>
                <w:bCs/>
                <w:kern w:val="0"/>
                <w:sz w:val="20"/>
                <w:szCs w:val="20"/>
              </w:rPr>
              <w:t>2</w:t>
            </w:r>
          </w:p>
        </w:tc>
        <w:tc>
          <w:tcPr>
            <w:tcW w:w="1645"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红果经济开发区两河新区中心物流园建设项目</w:t>
            </w:r>
          </w:p>
        </w:tc>
        <w:tc>
          <w:tcPr>
            <w:tcW w:w="1536"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红果经济开发区两河新区</w:t>
            </w:r>
          </w:p>
        </w:tc>
        <w:tc>
          <w:tcPr>
            <w:tcW w:w="665"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收尾</w:t>
            </w:r>
          </w:p>
        </w:tc>
        <w:tc>
          <w:tcPr>
            <w:tcW w:w="1264"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p>
        </w:tc>
        <w:tc>
          <w:tcPr>
            <w:tcW w:w="710"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 xml:space="preserve">2017 </w:t>
            </w:r>
          </w:p>
        </w:tc>
        <w:tc>
          <w:tcPr>
            <w:tcW w:w="636"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 xml:space="preserve">2020 </w:t>
            </w:r>
          </w:p>
        </w:tc>
        <w:tc>
          <w:tcPr>
            <w:tcW w:w="981"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119000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38" w:type="dxa"/>
            <w:shd w:val="clear" w:color="auto" w:fill="auto"/>
            <w:vAlign w:val="center"/>
          </w:tcPr>
          <w:p>
            <w:pPr>
              <w:widowControl/>
              <w:spacing w:line="240" w:lineRule="auto"/>
              <w:jc w:val="center"/>
              <w:rPr>
                <w:rFonts w:cs="宋体" w:asciiTheme="majorEastAsia" w:hAnsiTheme="majorEastAsia" w:eastAsiaTheme="majorEastAsia"/>
                <w:b/>
                <w:bCs/>
                <w:kern w:val="0"/>
                <w:sz w:val="20"/>
                <w:szCs w:val="20"/>
              </w:rPr>
            </w:pPr>
            <w:r>
              <w:rPr>
                <w:rFonts w:hint="eastAsia" w:cs="宋体" w:asciiTheme="majorEastAsia" w:hAnsiTheme="majorEastAsia" w:eastAsiaTheme="majorEastAsia"/>
                <w:b/>
                <w:bCs/>
                <w:kern w:val="0"/>
                <w:sz w:val="20"/>
                <w:szCs w:val="20"/>
              </w:rPr>
              <w:t>三、县级客运站</w:t>
            </w:r>
          </w:p>
        </w:tc>
        <w:tc>
          <w:tcPr>
            <w:tcW w:w="1645"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p>
        </w:tc>
        <w:tc>
          <w:tcPr>
            <w:tcW w:w="1536"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p>
        </w:tc>
        <w:tc>
          <w:tcPr>
            <w:tcW w:w="665" w:type="dxa"/>
            <w:shd w:val="clear" w:color="auto" w:fill="auto"/>
            <w:vAlign w:val="center"/>
          </w:tcPr>
          <w:p>
            <w:pPr>
              <w:widowControl/>
              <w:spacing w:line="240" w:lineRule="auto"/>
              <w:rPr>
                <w:rFonts w:cs="宋体" w:asciiTheme="majorEastAsia" w:hAnsiTheme="majorEastAsia" w:eastAsiaTheme="majorEastAsia"/>
                <w:kern w:val="0"/>
                <w:sz w:val="20"/>
                <w:szCs w:val="20"/>
              </w:rPr>
            </w:pPr>
          </w:p>
        </w:tc>
        <w:tc>
          <w:tcPr>
            <w:tcW w:w="1264"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p>
        </w:tc>
        <w:tc>
          <w:tcPr>
            <w:tcW w:w="710"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p>
        </w:tc>
        <w:tc>
          <w:tcPr>
            <w:tcW w:w="636"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p>
        </w:tc>
        <w:tc>
          <w:tcPr>
            <w:tcW w:w="981"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38" w:type="dxa"/>
            <w:shd w:val="clear" w:color="auto" w:fill="auto"/>
            <w:vAlign w:val="center"/>
          </w:tcPr>
          <w:p>
            <w:pPr>
              <w:widowControl/>
              <w:spacing w:line="240" w:lineRule="auto"/>
              <w:jc w:val="center"/>
              <w:rPr>
                <w:rFonts w:cs="宋体" w:asciiTheme="majorEastAsia" w:hAnsiTheme="majorEastAsia" w:eastAsiaTheme="majorEastAsia"/>
                <w:b/>
                <w:bCs/>
                <w:kern w:val="0"/>
                <w:sz w:val="20"/>
                <w:szCs w:val="20"/>
              </w:rPr>
            </w:pPr>
            <w:r>
              <w:rPr>
                <w:rFonts w:hint="eastAsia" w:cs="宋体" w:asciiTheme="majorEastAsia" w:hAnsiTheme="majorEastAsia" w:eastAsiaTheme="majorEastAsia"/>
                <w:b/>
                <w:bCs/>
                <w:kern w:val="0"/>
                <w:sz w:val="20"/>
                <w:szCs w:val="20"/>
              </w:rPr>
              <w:t>1</w:t>
            </w:r>
          </w:p>
        </w:tc>
        <w:tc>
          <w:tcPr>
            <w:tcW w:w="1645"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六枝中心客运站</w:t>
            </w:r>
          </w:p>
        </w:tc>
        <w:tc>
          <w:tcPr>
            <w:tcW w:w="1536"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六枝特区</w:t>
            </w:r>
          </w:p>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塔山社区</w:t>
            </w:r>
          </w:p>
        </w:tc>
        <w:tc>
          <w:tcPr>
            <w:tcW w:w="665"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收尾</w:t>
            </w:r>
          </w:p>
        </w:tc>
        <w:tc>
          <w:tcPr>
            <w:tcW w:w="1264"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一级客运站</w:t>
            </w:r>
          </w:p>
        </w:tc>
        <w:tc>
          <w:tcPr>
            <w:tcW w:w="710"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 xml:space="preserve">2016 </w:t>
            </w:r>
          </w:p>
        </w:tc>
        <w:tc>
          <w:tcPr>
            <w:tcW w:w="636"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 xml:space="preserve">2020 </w:t>
            </w:r>
          </w:p>
        </w:tc>
        <w:tc>
          <w:tcPr>
            <w:tcW w:w="981"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14758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jc w:val="center"/>
        </w:trPr>
        <w:tc>
          <w:tcPr>
            <w:tcW w:w="638" w:type="dxa"/>
            <w:shd w:val="clear" w:color="auto" w:fill="auto"/>
            <w:vAlign w:val="center"/>
          </w:tcPr>
          <w:p>
            <w:pPr>
              <w:widowControl/>
              <w:spacing w:line="240" w:lineRule="auto"/>
              <w:jc w:val="center"/>
              <w:rPr>
                <w:rFonts w:cs="宋体" w:asciiTheme="majorEastAsia" w:hAnsiTheme="majorEastAsia" w:eastAsiaTheme="majorEastAsia"/>
                <w:b/>
                <w:bCs/>
                <w:kern w:val="0"/>
                <w:sz w:val="20"/>
                <w:szCs w:val="20"/>
              </w:rPr>
            </w:pPr>
            <w:r>
              <w:rPr>
                <w:rFonts w:hint="eastAsia" w:cs="宋体" w:asciiTheme="majorEastAsia" w:hAnsiTheme="majorEastAsia" w:eastAsiaTheme="majorEastAsia"/>
                <w:b/>
                <w:bCs/>
                <w:kern w:val="0"/>
                <w:sz w:val="20"/>
                <w:szCs w:val="20"/>
              </w:rPr>
              <w:t>2</w:t>
            </w:r>
          </w:p>
        </w:tc>
        <w:tc>
          <w:tcPr>
            <w:tcW w:w="1645"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盘州城市综合交通枢纽建设项目（盘州西客站）</w:t>
            </w:r>
          </w:p>
        </w:tc>
        <w:tc>
          <w:tcPr>
            <w:tcW w:w="1536"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盘州市红果街道</w:t>
            </w:r>
          </w:p>
        </w:tc>
        <w:tc>
          <w:tcPr>
            <w:tcW w:w="665"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收尾</w:t>
            </w:r>
          </w:p>
        </w:tc>
        <w:tc>
          <w:tcPr>
            <w:tcW w:w="1264"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一级客运站</w:t>
            </w:r>
          </w:p>
        </w:tc>
        <w:tc>
          <w:tcPr>
            <w:tcW w:w="710"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 xml:space="preserve">2017 </w:t>
            </w:r>
          </w:p>
        </w:tc>
        <w:tc>
          <w:tcPr>
            <w:tcW w:w="636"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 xml:space="preserve">2020 </w:t>
            </w:r>
          </w:p>
        </w:tc>
        <w:tc>
          <w:tcPr>
            <w:tcW w:w="981" w:type="dxa"/>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cs="宋体" w:asciiTheme="majorEastAsia" w:hAnsiTheme="majorEastAsia" w:eastAsiaTheme="majorEastAsia"/>
                <w:kern w:val="0"/>
                <w:sz w:val="20"/>
                <w:szCs w:val="20"/>
              </w:rPr>
              <w:t>103791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638" w:type="dxa"/>
            <w:shd w:val="clear" w:color="auto" w:fill="auto"/>
            <w:vAlign w:val="center"/>
          </w:tcPr>
          <w:p>
            <w:pPr>
              <w:widowControl/>
              <w:spacing w:line="240" w:lineRule="auto"/>
              <w:jc w:val="center"/>
              <w:rPr>
                <w:rFonts w:cs="宋体" w:asciiTheme="majorEastAsia" w:hAnsiTheme="majorEastAsia" w:eastAsiaTheme="majorEastAsia"/>
                <w:b/>
                <w:bCs/>
                <w:kern w:val="0"/>
                <w:sz w:val="20"/>
                <w:szCs w:val="20"/>
              </w:rPr>
            </w:pPr>
            <w:r>
              <w:rPr>
                <w:rFonts w:hint="eastAsia" w:cs="宋体" w:asciiTheme="majorEastAsia" w:hAnsiTheme="majorEastAsia" w:eastAsiaTheme="majorEastAsia"/>
                <w:b/>
                <w:bCs/>
                <w:kern w:val="0"/>
                <w:sz w:val="20"/>
                <w:szCs w:val="20"/>
              </w:rPr>
              <w:t>四、乡镇客运站</w:t>
            </w:r>
          </w:p>
        </w:tc>
        <w:tc>
          <w:tcPr>
            <w:tcW w:w="7437" w:type="dxa"/>
            <w:gridSpan w:val="7"/>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十三五建成与在建数量（建成14个，在建1个）</w:t>
            </w:r>
          </w:p>
        </w:tc>
      </w:tr>
    </w:tbl>
    <w:p>
      <w:pPr>
        <w:pStyle w:val="5"/>
        <w:rPr>
          <w:rFonts w:asciiTheme="majorEastAsia" w:hAnsiTheme="majorEastAsia"/>
        </w:rPr>
      </w:pPr>
      <w:r>
        <w:rPr>
          <w:rFonts w:cs="Times New Roman" w:asciiTheme="majorEastAsia" w:hAnsiTheme="majorEastAsia"/>
        </w:rPr>
        <w:t>2.1.1.4</w:t>
      </w:r>
      <w:r>
        <w:rPr>
          <w:rFonts w:hint="eastAsia" w:asciiTheme="majorEastAsia" w:hAnsiTheme="majorEastAsia"/>
        </w:rPr>
        <w:t>运输服务登上新台阶</w:t>
      </w:r>
    </w:p>
    <w:p>
      <w:pPr>
        <w:pStyle w:val="6"/>
        <w:rPr>
          <w:rFonts w:asciiTheme="majorEastAsia" w:hAnsiTheme="majorEastAsia" w:eastAsiaTheme="majorEastAsia"/>
        </w:rPr>
      </w:pPr>
      <w:r>
        <w:rPr>
          <w:rFonts w:hint="eastAsia" w:asciiTheme="majorEastAsia" w:hAnsiTheme="majorEastAsia" w:eastAsiaTheme="majorEastAsia"/>
        </w:rPr>
        <w:t>（一）运输生产持续增长</w:t>
      </w:r>
    </w:p>
    <w:p>
      <w:pPr>
        <w:ind w:firstLine="548" w:firstLineChars="196"/>
        <w:rPr>
          <w:rFonts w:asciiTheme="majorEastAsia" w:hAnsiTheme="majorEastAsia" w:eastAsiaTheme="majorEastAsia"/>
          <w:kern w:val="0"/>
          <w:szCs w:val="28"/>
        </w:rPr>
      </w:pPr>
      <w:r>
        <w:rPr>
          <w:rFonts w:hint="eastAsia" w:asciiTheme="majorEastAsia" w:hAnsiTheme="majorEastAsia" w:eastAsiaTheme="majorEastAsia"/>
          <w:kern w:val="0"/>
          <w:szCs w:val="28"/>
        </w:rPr>
        <w:t>营运船舶向大型化、专业化和高级化方向发展，内河货运船舶向规范化和标准化方向发展，水运运输船舶进一步向大型化、规模化方向发展，较“十二五”末船舶载客量(客位)增加了31%，客运船舶数量增加83%，为打造凉都旅游发展，做出重要贡献。</w:t>
      </w:r>
    </w:p>
    <w:p>
      <w:pPr>
        <w:ind w:firstLine="548" w:firstLineChars="196"/>
        <w:rPr>
          <w:rFonts w:asciiTheme="majorEastAsia" w:hAnsiTheme="majorEastAsia" w:eastAsiaTheme="majorEastAsia"/>
          <w:kern w:val="0"/>
          <w:szCs w:val="28"/>
        </w:rPr>
      </w:pPr>
      <w:r>
        <w:rPr>
          <w:rFonts w:hint="eastAsia" w:asciiTheme="majorEastAsia" w:hAnsiTheme="majorEastAsia" w:eastAsiaTheme="majorEastAsia"/>
          <w:kern w:val="0"/>
          <w:szCs w:val="28"/>
        </w:rPr>
        <w:t>“十三五”以来，全市交通运输量快速增长，运输效率明显提高，服务水平显著提升。经过“十三五”的发展，全市客车、货车、公交车、出租车、行业从业人员已分别达到1459辆、19587辆、1128辆、2961辆和46464人，较“十二五”分别增长51.5%、41.7%、2.7%、8.9%、64%，企业规模化、行业集约化发展趋势明显，快速发展的道路运输保障能力，为全市经济社会的发展提供了优良保障。</w:t>
      </w:r>
    </w:p>
    <w:p>
      <w:pPr>
        <w:pStyle w:val="6"/>
        <w:rPr>
          <w:rFonts w:asciiTheme="majorEastAsia" w:hAnsiTheme="majorEastAsia" w:eastAsiaTheme="majorEastAsia"/>
        </w:rPr>
      </w:pPr>
      <w:r>
        <w:rPr>
          <w:rFonts w:hint="eastAsia" w:asciiTheme="majorEastAsia" w:hAnsiTheme="majorEastAsia" w:eastAsiaTheme="majorEastAsia"/>
        </w:rPr>
        <w:t>（二）公交优先持续推进</w:t>
      </w:r>
    </w:p>
    <w:p>
      <w:pPr>
        <w:pStyle w:val="43"/>
        <w:ind w:firstLine="560"/>
        <w:rPr>
          <w:rFonts w:asciiTheme="majorEastAsia" w:hAnsiTheme="majorEastAsia" w:eastAsiaTheme="majorEastAsia"/>
          <w:bCs/>
        </w:rPr>
      </w:pPr>
      <w:r>
        <w:rPr>
          <w:rFonts w:hint="eastAsia" w:cs="Times New Roman" w:asciiTheme="majorEastAsia" w:hAnsiTheme="majorEastAsia" w:eastAsiaTheme="majorEastAsia"/>
          <w:kern w:val="0"/>
          <w:szCs w:val="28"/>
        </w:rPr>
        <w:t>“十三五”期间，对标公交都市，持续优先发展城市公交，提供了有基本保障、多元化的公交出行服务</w:t>
      </w:r>
      <w:r>
        <w:rPr>
          <w:rFonts w:hint="eastAsia" w:asciiTheme="majorEastAsia" w:hAnsiTheme="majorEastAsia" w:eastAsiaTheme="majorEastAsia"/>
        </w:rPr>
        <w:t>。</w:t>
      </w:r>
      <w:r>
        <w:rPr>
          <w:rFonts w:hint="eastAsia" w:asciiTheme="majorEastAsia" w:hAnsiTheme="majorEastAsia" w:eastAsiaTheme="majorEastAsia"/>
          <w:b/>
        </w:rPr>
        <w:t>常规公交服务水平稳步提升。</w:t>
      </w:r>
      <w:r>
        <w:rPr>
          <w:rFonts w:hint="eastAsia" w:asciiTheme="majorEastAsia" w:hAnsiTheme="majorEastAsia" w:eastAsiaTheme="majorEastAsia"/>
        </w:rPr>
        <w:t>截止目前，全市共有公交车1128辆，出租车、网约车2961辆，公交出行分担率达32.16%，公交车万人拥有量达11标台以上。将中心城区人流量较大的10条公交线路运营时间延长至晚10:00，实现中心城区残疾人免费乘坐公交车，完成交通一卡通公交乘车卡建设，全市二级以上客运站实现联网售票。</w:t>
      </w:r>
      <w:r>
        <w:rPr>
          <w:rFonts w:hint="eastAsia" w:asciiTheme="majorEastAsia" w:hAnsiTheme="majorEastAsia" w:eastAsiaTheme="majorEastAsia"/>
          <w:b/>
        </w:rPr>
        <w:t>出租车行业持续发展。</w:t>
      </w:r>
      <w:r>
        <w:rPr>
          <w:rFonts w:hint="eastAsia" w:asciiTheme="majorEastAsia" w:hAnsiTheme="majorEastAsia" w:eastAsiaTheme="majorEastAsia"/>
          <w:bCs/>
        </w:rPr>
        <w:t>出台《六盘水市关于深化改革推进出租汽车行业健康发展的实施意见》，许可31家网约平台公司，共有725台网约车正式上线运营，滴滴出行科技有限公司在六盘水注册落地。</w:t>
      </w:r>
    </w:p>
    <w:p>
      <w:pPr>
        <w:pStyle w:val="6"/>
        <w:rPr>
          <w:rFonts w:asciiTheme="majorEastAsia" w:hAnsiTheme="majorEastAsia" w:eastAsiaTheme="majorEastAsia"/>
        </w:rPr>
      </w:pPr>
      <w:r>
        <w:rPr>
          <w:rFonts w:hint="eastAsia" w:asciiTheme="majorEastAsia" w:hAnsiTheme="majorEastAsia" w:eastAsiaTheme="majorEastAsia"/>
        </w:rPr>
        <w:t>（三）客货运输服务体系不断完善</w:t>
      </w:r>
    </w:p>
    <w:p>
      <w:pPr>
        <w:ind w:firstLine="560" w:firstLineChars="200"/>
        <w:rPr>
          <w:rFonts w:asciiTheme="majorEastAsia" w:hAnsiTheme="majorEastAsia" w:eastAsiaTheme="majorEastAsia"/>
        </w:rPr>
      </w:pPr>
      <w:r>
        <w:rPr>
          <w:rFonts w:hint="eastAsia" w:asciiTheme="majorEastAsia" w:hAnsiTheme="majorEastAsia" w:eastAsiaTheme="majorEastAsia"/>
        </w:rPr>
        <w:t>“十三五”以来，农村客运服务网络进一步完善。</w:t>
      </w:r>
      <w:r>
        <w:rPr>
          <w:rFonts w:hint="eastAsia" w:asciiTheme="majorEastAsia" w:hAnsiTheme="majorEastAsia" w:eastAsiaTheme="majorEastAsia"/>
          <w:b/>
        </w:rPr>
        <w:t>一是农村客运持续发展。</w:t>
      </w:r>
      <w:r>
        <w:rPr>
          <w:rFonts w:hint="eastAsia" w:asciiTheme="majorEastAsia" w:hAnsiTheme="majorEastAsia" w:eastAsiaTheme="majorEastAsia"/>
        </w:rPr>
        <w:t>开通农村客运班线</w:t>
      </w:r>
      <w:r>
        <w:rPr>
          <w:rFonts w:asciiTheme="majorEastAsia" w:hAnsiTheme="majorEastAsia" w:eastAsiaTheme="majorEastAsia"/>
        </w:rPr>
        <w:t>156</w:t>
      </w:r>
      <w:r>
        <w:rPr>
          <w:rFonts w:hint="eastAsia" w:asciiTheme="majorEastAsia" w:hAnsiTheme="majorEastAsia" w:eastAsiaTheme="majorEastAsia"/>
        </w:rPr>
        <w:t>条，在2017年实现行政村100%通客运的基础上，开展“通村村”平台推广应用，依托“通村村”平台建设村级服务站623个，将物流服务延伸至村，相继开通乌蒙大草原、娘娘山等景区旅游线路，建成10个停靠点和8座便民码头，建成二级客运站1个，乡镇客运站覆盖率100%，铺就“网购下乡、黔货出山”的通道，民生交通大幅改善，交通发展成果惠及更多群众。</w:t>
      </w:r>
      <w:r>
        <w:rPr>
          <w:rFonts w:hint="eastAsia" w:asciiTheme="majorEastAsia" w:hAnsiTheme="majorEastAsia" w:eastAsiaTheme="majorEastAsia"/>
          <w:b/>
        </w:rPr>
        <w:t>二是驾驶培训不断规范。</w:t>
      </w:r>
      <w:r>
        <w:rPr>
          <w:rFonts w:hint="eastAsia" w:asciiTheme="majorEastAsia" w:hAnsiTheme="majorEastAsia" w:eastAsiaTheme="majorEastAsia"/>
        </w:rPr>
        <w:t>全市共有驾培机构3</w:t>
      </w:r>
      <w:r>
        <w:rPr>
          <w:rFonts w:asciiTheme="majorEastAsia" w:hAnsiTheme="majorEastAsia" w:eastAsiaTheme="majorEastAsia"/>
        </w:rPr>
        <w:t>7</w:t>
      </w:r>
      <w:r>
        <w:rPr>
          <w:rFonts w:hint="eastAsia" w:asciiTheme="majorEastAsia" w:hAnsiTheme="majorEastAsia" w:eastAsiaTheme="majorEastAsia"/>
        </w:rPr>
        <w:t>家，教练员</w:t>
      </w:r>
      <w:r>
        <w:rPr>
          <w:rFonts w:asciiTheme="majorEastAsia" w:hAnsiTheme="majorEastAsia" w:eastAsiaTheme="majorEastAsia"/>
        </w:rPr>
        <w:t>2263</w:t>
      </w:r>
      <w:r>
        <w:rPr>
          <w:rFonts w:hint="eastAsia" w:asciiTheme="majorEastAsia" w:hAnsiTheme="majorEastAsia" w:eastAsiaTheme="majorEastAsia"/>
        </w:rPr>
        <w:t>人，教练车</w:t>
      </w:r>
      <w:r>
        <w:rPr>
          <w:rFonts w:asciiTheme="majorEastAsia" w:hAnsiTheme="majorEastAsia" w:eastAsiaTheme="majorEastAsia"/>
        </w:rPr>
        <w:t>1883</w:t>
      </w:r>
      <w:r>
        <w:rPr>
          <w:rFonts w:hint="eastAsia" w:asciiTheme="majorEastAsia" w:hAnsiTheme="majorEastAsia" w:eastAsiaTheme="majorEastAsia"/>
        </w:rPr>
        <w:t>辆。已全部安装使用计时培训系统，年均完成驾驶人员培训约2.7万余人。</w:t>
      </w:r>
      <w:r>
        <w:rPr>
          <w:rFonts w:hint="eastAsia" w:asciiTheme="majorEastAsia" w:hAnsiTheme="majorEastAsia" w:eastAsiaTheme="majorEastAsia"/>
          <w:b/>
          <w:bCs/>
        </w:rPr>
        <w:t>三是货运物流业“降本增效”取得明显成效。</w:t>
      </w:r>
      <w:r>
        <w:rPr>
          <w:rFonts w:hint="eastAsia" w:asciiTheme="majorEastAsia" w:hAnsiTheme="majorEastAsia" w:eastAsiaTheme="majorEastAsia"/>
        </w:rPr>
        <w:t>支持引导水钢物流通过交通运输部“无车承运人试点”资格认证并授牌，货车空返率由90%下降到30%，市中心城区物流成本降低约20%。落实普通货运车辆“三检合一”，单车节约成本600至800元。</w:t>
      </w:r>
    </w:p>
    <w:p>
      <w:pPr>
        <w:pStyle w:val="5"/>
        <w:rPr>
          <w:rFonts w:cs="Times New Roman" w:asciiTheme="majorEastAsia" w:hAnsiTheme="majorEastAsia"/>
        </w:rPr>
      </w:pPr>
      <w:r>
        <w:rPr>
          <w:rFonts w:hint="eastAsia" w:cs="Times New Roman" w:asciiTheme="majorEastAsia" w:hAnsiTheme="majorEastAsia"/>
        </w:rPr>
        <w:t>2.1.1.</w:t>
      </w:r>
      <w:r>
        <w:rPr>
          <w:rFonts w:cs="Times New Roman" w:asciiTheme="majorEastAsia" w:hAnsiTheme="majorEastAsia"/>
        </w:rPr>
        <w:t>5</w:t>
      </w:r>
      <w:r>
        <w:rPr>
          <w:rFonts w:hint="eastAsia" w:cs="Times New Roman" w:asciiTheme="majorEastAsia" w:hAnsiTheme="majorEastAsia"/>
        </w:rPr>
        <w:t>管理水平上升新高度</w:t>
      </w:r>
    </w:p>
    <w:p>
      <w:pPr>
        <w:pStyle w:val="6"/>
        <w:rPr>
          <w:rFonts w:asciiTheme="majorEastAsia" w:hAnsiTheme="majorEastAsia" w:eastAsiaTheme="majorEastAsia"/>
        </w:rPr>
      </w:pPr>
      <w:r>
        <w:rPr>
          <w:rFonts w:hint="eastAsia" w:asciiTheme="majorEastAsia" w:hAnsiTheme="majorEastAsia" w:eastAsiaTheme="majorEastAsia"/>
        </w:rPr>
        <w:t>（一）智能化管理初见成效</w:t>
      </w:r>
    </w:p>
    <w:p>
      <w:pPr>
        <w:widowControl/>
        <w:spacing w:line="240" w:lineRule="auto"/>
        <w:ind w:firstLine="567"/>
        <w:rPr>
          <w:rFonts w:asciiTheme="majorEastAsia" w:hAnsiTheme="majorEastAsia" w:eastAsiaTheme="majorEastAsia"/>
          <w:szCs w:val="28"/>
        </w:rPr>
      </w:pPr>
      <w:r>
        <w:rPr>
          <w:rFonts w:hint="eastAsia" w:asciiTheme="majorEastAsia" w:hAnsiTheme="majorEastAsia" w:eastAsiaTheme="majorEastAsia"/>
          <w:b/>
          <w:szCs w:val="28"/>
        </w:rPr>
        <w:t>初步启动非现场执法公路治超工作。</w:t>
      </w:r>
      <w:r>
        <w:rPr>
          <w:rFonts w:hint="eastAsia" w:asciiTheme="majorEastAsia" w:hAnsiTheme="majorEastAsia" w:eastAsiaTheme="majorEastAsia"/>
          <w:szCs w:val="28"/>
        </w:rPr>
        <w:t>公路治超从传统方式向现代化、智能化执法，为跨区域、跨部门联合联动执法提供有力支撑，可缓解流动执法压力。截止目前，盘州市已有2个科技治超站。</w:t>
      </w:r>
    </w:p>
    <w:p>
      <w:pPr>
        <w:widowControl/>
        <w:spacing w:line="240" w:lineRule="auto"/>
        <w:ind w:firstLine="567"/>
        <w:rPr>
          <w:rFonts w:asciiTheme="majorEastAsia" w:hAnsiTheme="majorEastAsia" w:eastAsiaTheme="majorEastAsia"/>
          <w:szCs w:val="28"/>
        </w:rPr>
      </w:pPr>
      <w:r>
        <w:rPr>
          <w:rFonts w:hint="eastAsia" w:asciiTheme="majorEastAsia" w:hAnsiTheme="majorEastAsia" w:eastAsiaTheme="majorEastAsia"/>
          <w:b/>
          <w:szCs w:val="28"/>
        </w:rPr>
        <w:t>出行信息服务水平得到极大提升。</w:t>
      </w:r>
      <w:r>
        <w:rPr>
          <w:rFonts w:hint="eastAsia" w:asciiTheme="majorEastAsia" w:hAnsiTheme="majorEastAsia" w:eastAsiaTheme="majorEastAsia"/>
          <w:szCs w:val="28"/>
        </w:rPr>
        <w:t>已完成新版运政系统的推广和普及，实现全市二级以上客运站联网售票，推出了“智行公交APP”，推广了公交一卡通、“通村村”农村出行服务平台，为老百姓提供了班车实时查询、预订、包车、定制班车等服务，进一步方便人民群众定制出行。</w:t>
      </w:r>
    </w:p>
    <w:p>
      <w:pPr>
        <w:widowControl/>
        <w:spacing w:line="240" w:lineRule="auto"/>
        <w:ind w:firstLine="567"/>
        <w:rPr>
          <w:rFonts w:asciiTheme="majorEastAsia" w:hAnsiTheme="majorEastAsia" w:eastAsiaTheme="majorEastAsia"/>
          <w:szCs w:val="28"/>
        </w:rPr>
      </w:pPr>
      <w:r>
        <w:rPr>
          <w:rFonts w:hint="eastAsia" w:asciiTheme="majorEastAsia" w:hAnsiTheme="majorEastAsia" w:eastAsiaTheme="majorEastAsia"/>
          <w:b/>
          <w:szCs w:val="28"/>
        </w:rPr>
        <w:t>交通相关信息化系统初步覆盖交通运输行业管理及交通管控业务</w:t>
      </w:r>
      <w:r>
        <w:rPr>
          <w:rFonts w:hint="eastAsia" w:asciiTheme="majorEastAsia" w:hAnsiTheme="majorEastAsia" w:eastAsiaTheme="majorEastAsia"/>
          <w:szCs w:val="28"/>
        </w:rPr>
        <w:t>。已有交通信息化监控平台四个:公交站台监控平台、重点营运车辆动态联网联控平台、交通部下属的货运公共服务平台、贵州省道路交通安全综合管理平台。开通全国运输车辆执法监督电话12328; 开播交通广播电台93.8MHz。建立物流信息平台，对水钢物流的车辆运行状态做到精确可控，整合六盘水市输出车辆和回程车辆，提高运行效率，使市中心区物流成本降低约20%。信息化建设取得了一定成绩，为今后的交通信息化发展奠定了良好的基础。</w:t>
      </w:r>
    </w:p>
    <w:p>
      <w:pPr>
        <w:pStyle w:val="6"/>
        <w:rPr>
          <w:rFonts w:asciiTheme="majorEastAsia" w:hAnsiTheme="majorEastAsia" w:eastAsiaTheme="majorEastAsia"/>
        </w:rPr>
      </w:pPr>
      <w:r>
        <w:rPr>
          <w:rFonts w:hint="eastAsia" w:asciiTheme="majorEastAsia" w:hAnsiTheme="majorEastAsia" w:eastAsiaTheme="majorEastAsia"/>
        </w:rPr>
        <w:t>（二）养护管理水平不断提升</w:t>
      </w:r>
    </w:p>
    <w:p>
      <w:pPr>
        <w:ind w:firstLine="560" w:firstLineChars="200"/>
        <w:rPr>
          <w:rFonts w:asciiTheme="majorEastAsia" w:hAnsiTheme="majorEastAsia" w:eastAsiaTheme="majorEastAsia"/>
        </w:rPr>
      </w:pPr>
      <w:r>
        <w:rPr>
          <w:rFonts w:hint="eastAsia" w:asciiTheme="majorEastAsia" w:hAnsiTheme="majorEastAsia" w:eastAsiaTheme="majorEastAsia"/>
        </w:rPr>
        <w:t xml:space="preserve"> “十三五”以来，六盘水市公路养护专业化、机械化、规范化进程进一步加快。全市大力实施农村公路生命安全防护工程，累计处治农村公路临崖、临水等隐患里程7642公里，其中村公路里程1413公里，基本完成乡道及以上行政等级农村公路隐患处治。实施农村公路四五类危桥改造32座，新增国省道灾毁恢复治理工程199公里，公路大中修工程184公里。全市公路管理部门共检查公路</w:t>
      </w:r>
      <w:r>
        <w:rPr>
          <w:rFonts w:asciiTheme="majorEastAsia" w:hAnsiTheme="majorEastAsia" w:eastAsiaTheme="majorEastAsia"/>
        </w:rPr>
        <w:t>5556条次、发现一般隐患1600条，整改完</w:t>
      </w:r>
      <w:r>
        <w:rPr>
          <w:rFonts w:hint="eastAsia" w:asciiTheme="majorEastAsia" w:hAnsiTheme="majorEastAsia" w:eastAsiaTheme="majorEastAsia"/>
        </w:rPr>
        <w:t>毕</w:t>
      </w:r>
      <w:r>
        <w:rPr>
          <w:rFonts w:asciiTheme="majorEastAsia" w:hAnsiTheme="majorEastAsia" w:eastAsiaTheme="majorEastAsia"/>
        </w:rPr>
        <w:t>1560条，整改率97.5%</w:t>
      </w:r>
      <w:r>
        <w:rPr>
          <w:rFonts w:hint="eastAsia" w:asciiTheme="majorEastAsia" w:hAnsiTheme="majorEastAsia" w:eastAsiaTheme="majorEastAsia"/>
        </w:rPr>
        <w:t>，路况水平进一步提高。同时，路况检测工作稳步推进。自2016年起，开展了新增国省道，县乡公路高级次高级路面路况检测工作，其中国省道每年检测一次，县乡道每两年检测一次，近五年累计开展路况检测13822公里，农村公路路面技术状况评定（PQI）均值从2016年的75.92提升至2020年的86.073，农村公路服务水平及通行能力得到较大的提升。在水毁预防抢修及水毁恢复工程方面，“十三五”期间市级补助各区水毁恢复工程资金共计3853万元，项目已完工，除2020年底的部分项目外，其余均已办理完竣工决算。</w:t>
      </w:r>
    </w:p>
    <w:p>
      <w:pPr>
        <w:pStyle w:val="5"/>
        <w:rPr>
          <w:rFonts w:cs="Times New Roman" w:asciiTheme="majorEastAsia" w:hAnsiTheme="majorEastAsia"/>
        </w:rPr>
      </w:pPr>
      <w:r>
        <w:rPr>
          <w:rFonts w:hint="eastAsia" w:cs="Times New Roman" w:asciiTheme="majorEastAsia" w:hAnsiTheme="majorEastAsia"/>
        </w:rPr>
        <w:t>2.1.1.</w:t>
      </w:r>
      <w:r>
        <w:rPr>
          <w:rFonts w:cs="Times New Roman" w:asciiTheme="majorEastAsia" w:hAnsiTheme="majorEastAsia"/>
        </w:rPr>
        <w:t>6</w:t>
      </w:r>
      <w:r>
        <w:rPr>
          <w:rFonts w:hint="eastAsia" w:cs="Times New Roman" w:asciiTheme="majorEastAsia" w:hAnsiTheme="majorEastAsia"/>
        </w:rPr>
        <w:t>绿色交通发展建设不断加快</w:t>
      </w:r>
    </w:p>
    <w:p>
      <w:pPr>
        <w:pStyle w:val="6"/>
        <w:rPr>
          <w:rFonts w:asciiTheme="majorEastAsia" w:hAnsiTheme="majorEastAsia" w:eastAsiaTheme="majorEastAsia"/>
        </w:rPr>
      </w:pPr>
      <w:r>
        <w:rPr>
          <w:rFonts w:hint="eastAsia" w:asciiTheme="majorEastAsia" w:hAnsiTheme="majorEastAsia" w:eastAsiaTheme="majorEastAsia"/>
        </w:rPr>
        <w:t>（一）节能减排工作深入推进</w:t>
      </w:r>
    </w:p>
    <w:p>
      <w:pPr>
        <w:widowControl/>
        <w:spacing w:line="240" w:lineRule="auto"/>
        <w:ind w:firstLine="567"/>
        <w:rPr>
          <w:rFonts w:asciiTheme="majorEastAsia" w:hAnsiTheme="majorEastAsia" w:eastAsiaTheme="majorEastAsia"/>
          <w:szCs w:val="28"/>
        </w:rPr>
      </w:pPr>
      <w:r>
        <w:rPr>
          <w:rFonts w:hint="eastAsia" w:asciiTheme="majorEastAsia" w:hAnsiTheme="majorEastAsia" w:eastAsiaTheme="majorEastAsia"/>
        </w:rPr>
        <w:t>“十三五”</w:t>
      </w:r>
      <w:r>
        <w:rPr>
          <w:rFonts w:hint="eastAsia" w:asciiTheme="majorEastAsia" w:hAnsiTheme="majorEastAsia" w:eastAsiaTheme="majorEastAsia"/>
          <w:szCs w:val="28"/>
        </w:rPr>
        <w:t>期间，六盘水市制定并实施了创建循环经济绿色交通计划，完成了低碳出行绿色交通专项研究报告，筹备举办了绿色交通推动循环发展的专题研讨会，积极推进技术进步，行业可持续发展能力显著提升，新增和更新公交车新能源车占比100%，出租车新能源车占比94.6%。</w:t>
      </w:r>
    </w:p>
    <w:p>
      <w:pPr>
        <w:pStyle w:val="6"/>
        <w:rPr>
          <w:rFonts w:asciiTheme="majorEastAsia" w:hAnsiTheme="majorEastAsia" w:eastAsiaTheme="majorEastAsia"/>
        </w:rPr>
      </w:pPr>
      <w:r>
        <w:rPr>
          <w:rFonts w:hint="eastAsia" w:asciiTheme="majorEastAsia" w:hAnsiTheme="majorEastAsia" w:eastAsiaTheme="majorEastAsia"/>
        </w:rPr>
        <w:t>（二）污染防治工作成效显著</w:t>
      </w:r>
    </w:p>
    <w:p>
      <w:pPr>
        <w:widowControl/>
        <w:spacing w:line="240" w:lineRule="auto"/>
        <w:ind w:firstLine="567"/>
        <w:rPr>
          <w:rFonts w:asciiTheme="majorEastAsia" w:hAnsiTheme="majorEastAsia" w:eastAsiaTheme="majorEastAsia"/>
          <w:szCs w:val="28"/>
        </w:rPr>
      </w:pPr>
      <w:r>
        <w:rPr>
          <w:rFonts w:hint="eastAsia" w:asciiTheme="majorEastAsia" w:hAnsiTheme="majorEastAsia" w:eastAsiaTheme="majorEastAsia"/>
          <w:szCs w:val="28"/>
        </w:rPr>
        <w:t>六盘水市加快推进港口和船舶污染治理，积极响应《水污染防治行动计划》(国发(2015) 17号)文件，印发了《防治船舶及其作业活动污染水域环境应急能力建设规划(2018- 2020年)》、《六盘水市船舶污染事故应急预案》《六盘水市港口码头和船舶污染物接收、转运及处置设施建设方案》，明确船舶与港口水污染防治的工作目标，加强对水污染防治工作的宣传力度，提高船舶公司及船员的生态环保意识。开展对船舶使用的燃油油样抽样送检，有效减少船舶使用不符合标准燃油的行为。船舶与港口污染物接收转运处置建设工作进度现已完成</w:t>
      </w:r>
      <w:r>
        <w:rPr>
          <w:rFonts w:asciiTheme="majorEastAsia" w:hAnsiTheme="majorEastAsia" w:eastAsiaTheme="majorEastAsia"/>
          <w:szCs w:val="28"/>
        </w:rPr>
        <w:t>100</w:t>
      </w:r>
      <w:r>
        <w:rPr>
          <w:rFonts w:hint="eastAsia" w:asciiTheme="majorEastAsia" w:hAnsiTheme="majorEastAsia" w:eastAsiaTheme="majorEastAsia"/>
          <w:szCs w:val="28"/>
        </w:rPr>
        <w:t>%，有效加强船舶港口污染控制。开展交通工程扬尘污染防治工作，荣获六盘水市蓝天保卫战先进集体称号。</w:t>
      </w:r>
    </w:p>
    <w:p>
      <w:pPr>
        <w:pStyle w:val="5"/>
        <w:rPr>
          <w:rFonts w:asciiTheme="majorEastAsia" w:hAnsiTheme="majorEastAsia"/>
        </w:rPr>
      </w:pPr>
      <w:r>
        <w:rPr>
          <w:rFonts w:hint="eastAsia" w:cs="Times New Roman" w:asciiTheme="majorEastAsia" w:hAnsiTheme="majorEastAsia"/>
        </w:rPr>
        <w:t>2.1.1.</w:t>
      </w:r>
      <w:r>
        <w:rPr>
          <w:rFonts w:cs="Times New Roman" w:asciiTheme="majorEastAsia" w:hAnsiTheme="majorEastAsia"/>
        </w:rPr>
        <w:t>7</w:t>
      </w:r>
      <w:r>
        <w:rPr>
          <w:rFonts w:hint="eastAsia" w:cs="Times New Roman" w:asciiTheme="majorEastAsia" w:hAnsiTheme="majorEastAsia"/>
        </w:rPr>
        <w:t>平安交通建设稳步推进</w:t>
      </w:r>
    </w:p>
    <w:p>
      <w:pPr>
        <w:pStyle w:val="6"/>
        <w:rPr>
          <w:rFonts w:asciiTheme="majorEastAsia" w:hAnsiTheme="majorEastAsia" w:eastAsiaTheme="majorEastAsia"/>
        </w:rPr>
      </w:pPr>
      <w:r>
        <w:rPr>
          <w:rFonts w:hint="eastAsia" w:asciiTheme="majorEastAsia" w:hAnsiTheme="majorEastAsia" w:eastAsiaTheme="majorEastAsia"/>
        </w:rPr>
        <w:t>（一）安全生产形势持续稳定</w:t>
      </w:r>
    </w:p>
    <w:p>
      <w:pPr>
        <w:widowControl/>
        <w:spacing w:line="240" w:lineRule="auto"/>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 xml:space="preserve"> “十三五”以来，全市密集开展安全隐患大排查大整治，交通安全生产总体形势持续稳定。项目质量安全监督覆盖率达100%，深入实施“品质工程”行动计划，公路工程优良率逐年提升。严格落实安全生产行业监督责任和企业主体责任，建立和完善交通运输安全生产监管责任体系，大力实施农村公路生命安全防护工程，处治农村公路隐患里程7642公里，实施危桥改造32座，水上交通连续12年保持“零事故、零死亡”，交通运输安全事故起数和死亡人数较“十二五”实现双下降，交通安全生产形势持续平稳。</w:t>
      </w:r>
    </w:p>
    <w:p>
      <w:pPr>
        <w:pStyle w:val="6"/>
        <w:rPr>
          <w:rFonts w:asciiTheme="majorEastAsia" w:hAnsiTheme="majorEastAsia" w:eastAsiaTheme="majorEastAsia"/>
        </w:rPr>
      </w:pPr>
      <w:r>
        <w:rPr>
          <w:rFonts w:hint="eastAsia" w:asciiTheme="majorEastAsia" w:hAnsiTheme="majorEastAsia" w:eastAsiaTheme="majorEastAsia"/>
        </w:rPr>
        <w:t>（二）安全风险分级管控和隐患排查治理能力明显提升</w:t>
      </w:r>
    </w:p>
    <w:p>
      <w:pPr>
        <w:widowControl/>
        <w:spacing w:line="240" w:lineRule="auto"/>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 xml:space="preserve"> “十三五”期间，全市全面落实交通运输企业全员安全生产责任制，全市交通运输行业共281家企业均已完成全员安全生产责任制验收；全面推进交通运输行业风险辨识和分级管控工作，督促指导全市117家道路运输企业、9家水路运输企业、25个交通建设项目工程、998条农村公路开展风险分级管控工作，辨识安全风险6867条，全部实施分类分级管控。</w:t>
      </w:r>
    </w:p>
    <w:bookmarkEnd w:id="122"/>
    <w:p>
      <w:pPr>
        <w:pStyle w:val="6"/>
        <w:rPr>
          <w:rFonts w:asciiTheme="majorEastAsia" w:hAnsiTheme="majorEastAsia" w:eastAsiaTheme="majorEastAsia"/>
        </w:rPr>
      </w:pPr>
      <w:r>
        <w:rPr>
          <w:rFonts w:hint="eastAsia" w:asciiTheme="majorEastAsia" w:hAnsiTheme="majorEastAsia" w:eastAsiaTheme="majorEastAsia"/>
        </w:rPr>
        <w:t>（三）应急保障能力不断增强</w:t>
      </w:r>
    </w:p>
    <w:p>
      <w:pPr>
        <w:widowControl/>
        <w:spacing w:line="240" w:lineRule="auto"/>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 xml:space="preserve"> “十三五”以来，四个体系包括应急管理体系、应急预案体系、应急处置体系、应急保障体系基本形成，修订了《六盘水市水上交通事故应急预案》《公路交通安全应急预案》《六盘水市交通运输局处置突发事件总体应急预案》和《六盘水市交通运输局处置自然灾害应急预案》等预案，严格执行《六盘水市突发事件信息报送规定(试行)》，积极开展各项应急演练。</w:t>
      </w:r>
    </w:p>
    <w:p>
      <w:pPr>
        <w:pStyle w:val="5"/>
        <w:rPr>
          <w:rFonts w:cs="Times New Roman" w:asciiTheme="majorEastAsia" w:hAnsiTheme="majorEastAsia"/>
        </w:rPr>
      </w:pPr>
      <w:bookmarkStart w:id="130" w:name="_Toc43373297"/>
      <w:r>
        <w:rPr>
          <w:rFonts w:hint="eastAsia" w:cs="Times New Roman" w:asciiTheme="majorEastAsia" w:hAnsiTheme="majorEastAsia"/>
        </w:rPr>
        <w:t>2.1.1.</w:t>
      </w:r>
      <w:r>
        <w:rPr>
          <w:rFonts w:cs="Times New Roman" w:asciiTheme="majorEastAsia" w:hAnsiTheme="majorEastAsia"/>
        </w:rPr>
        <w:t>8</w:t>
      </w:r>
      <w:r>
        <w:rPr>
          <w:rFonts w:hint="eastAsia" w:cs="Times New Roman" w:asciiTheme="majorEastAsia" w:hAnsiTheme="majorEastAsia"/>
        </w:rPr>
        <w:t>行业治理拉开新序幕</w:t>
      </w:r>
      <w:bookmarkEnd w:id="130"/>
    </w:p>
    <w:p>
      <w:pPr>
        <w:pStyle w:val="6"/>
        <w:rPr>
          <w:rFonts w:asciiTheme="majorEastAsia" w:hAnsiTheme="majorEastAsia" w:eastAsiaTheme="majorEastAsia"/>
        </w:rPr>
      </w:pPr>
      <w:r>
        <w:rPr>
          <w:rFonts w:hint="eastAsia" w:asciiTheme="majorEastAsia" w:hAnsiTheme="majorEastAsia" w:eastAsiaTheme="majorEastAsia"/>
        </w:rPr>
        <w:t>（一）综合交通法规体系加快构建</w:t>
      </w:r>
    </w:p>
    <w:p>
      <w:pPr>
        <w:widowControl/>
        <w:spacing w:line="240" w:lineRule="auto"/>
        <w:ind w:firstLine="567"/>
        <w:rPr>
          <w:rFonts w:asciiTheme="majorEastAsia" w:hAnsiTheme="majorEastAsia" w:eastAsiaTheme="majorEastAsia"/>
          <w:szCs w:val="28"/>
        </w:rPr>
      </w:pPr>
      <w:r>
        <w:rPr>
          <w:rFonts w:hint="eastAsia" w:asciiTheme="majorEastAsia" w:hAnsiTheme="majorEastAsia" w:eastAsiaTheme="majorEastAsia"/>
          <w:szCs w:val="28"/>
        </w:rPr>
        <w:t xml:space="preserve"> “十三五”期，六盘水市水上交通安全积极推进《贵州省海事系统现场监督巡查规范》的实施，有效促进监管工作更加科学、更加合理的开展。道路运输行政执法稳步推进，对全市范围内的道路运输市场进行了较好的秩序整治工作，深入开展扫黑除恶专项斗争，按照“有黑扫黑、有恶除恶、有乱治乱”的原则开展交通行业乱象治理，非法营运车辆明显减少，助力全国文明城市创建，荣获全市创建全国文明城市先进集体。在公路路政行政执法方面，六盘水市根据《省交通运输厅关于印发贵州省公路执法服务大走访活动实施方案的通知》及市交通运输执法支队《关于开展公路执法服务大走访活动的通知》文件精神，对公路的建设、管理、养护和管理行为进行了大巡查大检查专项活动，为交通发展提供了坚实的法律保障和制度保障。</w:t>
      </w:r>
    </w:p>
    <w:p>
      <w:pPr>
        <w:pStyle w:val="6"/>
        <w:rPr>
          <w:rFonts w:asciiTheme="majorEastAsia" w:hAnsiTheme="majorEastAsia" w:eastAsiaTheme="majorEastAsia"/>
        </w:rPr>
      </w:pPr>
      <w:r>
        <w:rPr>
          <w:rFonts w:hint="eastAsia" w:asciiTheme="majorEastAsia" w:hAnsiTheme="majorEastAsia" w:eastAsiaTheme="majorEastAsia"/>
        </w:rPr>
        <w:t>（二）行业改革持续深化</w:t>
      </w:r>
    </w:p>
    <w:p>
      <w:pPr>
        <w:widowControl/>
        <w:spacing w:line="240" w:lineRule="auto"/>
        <w:ind w:firstLine="567"/>
        <w:rPr>
          <w:rFonts w:asciiTheme="majorEastAsia" w:hAnsiTheme="majorEastAsia" w:eastAsiaTheme="majorEastAsia"/>
          <w:szCs w:val="28"/>
        </w:rPr>
      </w:pPr>
      <w:r>
        <w:rPr>
          <w:rFonts w:hint="eastAsia" w:asciiTheme="majorEastAsia" w:hAnsiTheme="majorEastAsia" w:eastAsiaTheme="majorEastAsia"/>
          <w:szCs w:val="28"/>
        </w:rPr>
        <w:t>“十三五”期间，六盘水市加强行业有序监管，推进行政权责规范，简政放权，实现业务网上申请、审核、批准，办理流程处处留痕，为优化行业管理提供了数据支撑。</w:t>
      </w:r>
    </w:p>
    <w:p>
      <w:pPr>
        <w:widowControl/>
        <w:spacing w:line="240" w:lineRule="auto"/>
        <w:ind w:firstLine="567"/>
        <w:rPr>
          <w:rFonts w:asciiTheme="majorEastAsia" w:hAnsiTheme="majorEastAsia" w:eastAsiaTheme="majorEastAsia"/>
          <w:szCs w:val="28"/>
        </w:rPr>
      </w:pPr>
      <w:r>
        <w:rPr>
          <w:rFonts w:hint="eastAsia" w:asciiTheme="majorEastAsia" w:hAnsiTheme="majorEastAsia" w:eastAsiaTheme="majorEastAsia"/>
          <w:b/>
          <w:szCs w:val="28"/>
        </w:rPr>
        <w:t>逐级签订安全监督责任书，推进水上交通安全两个主体责任的落实。</w:t>
      </w:r>
      <w:r>
        <w:rPr>
          <w:rFonts w:hint="eastAsia" w:asciiTheme="majorEastAsia" w:hAnsiTheme="majorEastAsia" w:eastAsiaTheme="majorEastAsia"/>
          <w:szCs w:val="28"/>
        </w:rPr>
        <w:t>积极推动乡镇自用船安全管理责任制落实，制定完善沿岸居民集中水上出行向村镇、海事“双报备”制度，将水上交通安全相关禁止性规定列入村规民约。</w:t>
      </w:r>
      <w:r>
        <w:rPr>
          <w:rFonts w:hint="eastAsia" w:asciiTheme="majorEastAsia" w:hAnsiTheme="majorEastAsia" w:eastAsiaTheme="majorEastAsia"/>
          <w:b/>
          <w:szCs w:val="28"/>
        </w:rPr>
        <w:t>积极推进交通安全管理机构改革，加强交通安全管理人员编制标准管理。</w:t>
      </w:r>
      <w:r>
        <w:rPr>
          <w:rFonts w:hint="eastAsia" w:asciiTheme="majorEastAsia" w:hAnsiTheme="majorEastAsia" w:eastAsiaTheme="majorEastAsia"/>
          <w:szCs w:val="28"/>
        </w:rPr>
        <w:t>每年印发《交通运输安全生产工作要点》，建立健全运政执法监督机制。</w:t>
      </w:r>
      <w:r>
        <w:rPr>
          <w:rFonts w:hint="eastAsia" w:asciiTheme="majorEastAsia" w:hAnsiTheme="majorEastAsia" w:eastAsiaTheme="majorEastAsia"/>
          <w:b/>
          <w:szCs w:val="28"/>
        </w:rPr>
        <w:t>有序推进道路运输车辆维护制度改革。</w:t>
      </w:r>
      <w:r>
        <w:rPr>
          <w:rFonts w:hint="eastAsia" w:asciiTheme="majorEastAsia" w:hAnsiTheme="majorEastAsia" w:eastAsiaTheme="majorEastAsia"/>
          <w:szCs w:val="28"/>
        </w:rPr>
        <w:t>落实普通货运车辆“三检合一”，实行车辆“交钥匙工程”，完善长途客运车辆、旅游客车、危险物品运输车辆等重点营运车辆安全技术准入标准，提高安全性能。</w:t>
      </w:r>
      <w:r>
        <w:rPr>
          <w:rFonts w:hint="eastAsia" w:asciiTheme="majorEastAsia" w:hAnsiTheme="majorEastAsia" w:eastAsiaTheme="majorEastAsia"/>
          <w:b/>
          <w:szCs w:val="28"/>
        </w:rPr>
        <w:t>初步推行公路治超监管制度</w:t>
      </w:r>
      <w:r>
        <w:rPr>
          <w:rFonts w:hint="eastAsia" w:asciiTheme="majorEastAsia" w:hAnsiTheme="majorEastAsia" w:eastAsiaTheme="majorEastAsia"/>
          <w:szCs w:val="28"/>
        </w:rPr>
        <w:t>。盘州市拟将超限运输源头治理工作纳入政府对各乡（镇、街道）年终目标绩效考核。</w:t>
      </w:r>
      <w:r>
        <w:rPr>
          <w:rFonts w:hint="eastAsia" w:asciiTheme="majorEastAsia" w:hAnsiTheme="majorEastAsia" w:eastAsiaTheme="majorEastAsia"/>
          <w:b/>
          <w:bCs/>
          <w:szCs w:val="28"/>
        </w:rPr>
        <w:t>深化“放管服”改革</w:t>
      </w:r>
      <w:r>
        <w:rPr>
          <w:rFonts w:hint="eastAsia" w:asciiTheme="majorEastAsia" w:hAnsiTheme="majorEastAsia" w:eastAsiaTheme="majorEastAsia"/>
          <w:szCs w:val="28"/>
        </w:rPr>
        <w:t>。调整行政权力清单、责任清单事项224项，承接上级下放行政审批事项20项，调整行政处罚事项157项，调整行政强制措施17项。全面实现所有交通运输政务服务事项“最多跑一次”、“一网通办”。</w:t>
      </w:r>
      <w:r>
        <w:rPr>
          <w:rFonts w:hint="eastAsia" w:asciiTheme="majorEastAsia" w:hAnsiTheme="majorEastAsia" w:eastAsiaTheme="majorEastAsia"/>
          <w:b/>
          <w:bCs/>
          <w:szCs w:val="28"/>
        </w:rPr>
        <w:t>交通运输综合行政执法改革初见成效。</w:t>
      </w:r>
      <w:r>
        <w:rPr>
          <w:rFonts w:hint="eastAsia" w:asciiTheme="majorEastAsia" w:hAnsiTheme="majorEastAsia" w:eastAsiaTheme="majorEastAsia"/>
          <w:szCs w:val="28"/>
        </w:rPr>
        <w:t>成立了六盘水市交通运输综合行政执法支队，局属7家事业单位规范调整为“一支队两中心”，印发了“三定”方案；市辖4个市（特区、区）均已完成改革成立交通运输综合行政执法大队，均不属于多执法门类“大综合”行政执法机构。目前全市共有执法车辆31台，车载执法终端6台，执法记录仪40套。其中执法车辆市级1台，六枝特区2台，盘州市22台，水城区2台、钟山区4台。</w:t>
      </w:r>
    </w:p>
    <w:p>
      <w:pPr>
        <w:pStyle w:val="4"/>
        <w:rPr>
          <w:rFonts w:asciiTheme="majorEastAsia" w:hAnsiTheme="majorEastAsia" w:eastAsiaTheme="majorEastAsia"/>
        </w:rPr>
      </w:pPr>
      <w:bookmarkStart w:id="131" w:name="_Toc66367589"/>
      <w:bookmarkStart w:id="132" w:name="_Toc56264673"/>
      <w:bookmarkStart w:id="133" w:name="_Toc66367307"/>
      <w:bookmarkStart w:id="134" w:name="_Toc66367220"/>
      <w:bookmarkStart w:id="135" w:name="_Toc72513415"/>
      <w:bookmarkStart w:id="136" w:name="_Toc72777963"/>
      <w:bookmarkStart w:id="137" w:name="_Toc76994073"/>
      <w:bookmarkStart w:id="138" w:name="_Toc76490203"/>
      <w:bookmarkStart w:id="139" w:name="_Toc73625939"/>
      <w:bookmarkStart w:id="140" w:name="_Toc66179105"/>
      <w:bookmarkStart w:id="141" w:name="_Toc75518112"/>
      <w:bookmarkStart w:id="142" w:name="_Toc76993380"/>
      <w:bookmarkStart w:id="143" w:name="_Toc80715943"/>
      <w:bookmarkStart w:id="144" w:name="_Toc79923753"/>
      <w:bookmarkStart w:id="145" w:name="_Toc79048538"/>
      <w:bookmarkStart w:id="146" w:name="_Toc80103493"/>
      <w:bookmarkStart w:id="147" w:name="_Toc78813456"/>
      <w:bookmarkStart w:id="148" w:name="_Toc76994457"/>
      <w:bookmarkStart w:id="149" w:name="_Toc78550982"/>
      <w:bookmarkStart w:id="150" w:name="_Toc89102162"/>
      <w:bookmarkStart w:id="151" w:name="_Toc78374953"/>
      <w:bookmarkStart w:id="152" w:name="_Toc78556402"/>
      <w:bookmarkStart w:id="153" w:name="_Toc82161438"/>
      <w:bookmarkStart w:id="154" w:name="_Toc81406367"/>
      <w:bookmarkStart w:id="155" w:name="_Toc66367394"/>
      <w:bookmarkStart w:id="156" w:name="_Toc58318718"/>
      <w:bookmarkStart w:id="157" w:name="_Toc63600979"/>
      <w:r>
        <w:rPr>
          <w:rFonts w:asciiTheme="majorEastAsia" w:hAnsiTheme="majorEastAsia" w:eastAsiaTheme="majorEastAsia"/>
        </w:rPr>
        <w:t>2.1.2经验总结</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pPr>
        <w:widowControl/>
        <w:spacing w:line="240" w:lineRule="auto"/>
        <w:ind w:firstLine="567"/>
        <w:rPr>
          <w:rFonts w:asciiTheme="majorEastAsia" w:hAnsiTheme="majorEastAsia" w:eastAsiaTheme="majorEastAsia"/>
          <w:szCs w:val="28"/>
        </w:rPr>
      </w:pPr>
      <w:r>
        <w:rPr>
          <w:rFonts w:hint="eastAsia" w:asciiTheme="majorEastAsia" w:hAnsiTheme="majorEastAsia" w:eastAsiaTheme="majorEastAsia"/>
          <w:szCs w:val="28"/>
        </w:rPr>
        <w:t>回顾五年历程，可以深切感受到，做好新时代交通运输工作，</w:t>
      </w:r>
      <w:r>
        <w:rPr>
          <w:rFonts w:hint="eastAsia" w:asciiTheme="majorEastAsia" w:hAnsiTheme="majorEastAsia" w:eastAsiaTheme="majorEastAsia"/>
          <w:b/>
          <w:bCs/>
          <w:szCs w:val="28"/>
        </w:rPr>
        <w:t>必须坚持党的领导</w:t>
      </w:r>
      <w:r>
        <w:rPr>
          <w:rFonts w:hint="eastAsia" w:asciiTheme="majorEastAsia" w:hAnsiTheme="majorEastAsia" w:eastAsiaTheme="majorEastAsia"/>
          <w:szCs w:val="28"/>
        </w:rPr>
        <w:t>，始终团结在以习近平同志为核心的党中央周围，大力培育和弘扬新时代贵州精神、脱贫攻坚精神、援鄂抗疫精神，扎实开展“模范机关”创建，全面推行“5457”党建工作法，持续唱响“不忘初心、牢记使命”最强音，以实干实绩诠释对党绝对忠诚。</w:t>
      </w:r>
      <w:r>
        <w:rPr>
          <w:rFonts w:hint="eastAsia" w:asciiTheme="majorEastAsia" w:hAnsiTheme="majorEastAsia" w:eastAsiaTheme="majorEastAsia"/>
          <w:b/>
          <w:bCs/>
          <w:szCs w:val="28"/>
        </w:rPr>
        <w:t>必须坚持人民至上</w:t>
      </w:r>
      <w:r>
        <w:rPr>
          <w:rFonts w:hint="eastAsia" w:asciiTheme="majorEastAsia" w:hAnsiTheme="majorEastAsia" w:eastAsiaTheme="majorEastAsia"/>
          <w:szCs w:val="28"/>
        </w:rPr>
        <w:t>，始终以百姓心为心，把保障和改善民生作为交通运输工作的出发点和落脚点，全力抓好安防工程、危桥改造、便民码头等民生实事，着力解决群众操心事烦心事揪心事。</w:t>
      </w:r>
      <w:r>
        <w:rPr>
          <w:rFonts w:hint="eastAsia" w:asciiTheme="majorEastAsia" w:hAnsiTheme="majorEastAsia" w:eastAsiaTheme="majorEastAsia"/>
          <w:b/>
          <w:bCs/>
          <w:szCs w:val="28"/>
        </w:rPr>
        <w:t>必须坚持服务大局</w:t>
      </w:r>
      <w:r>
        <w:rPr>
          <w:rFonts w:hint="eastAsia" w:asciiTheme="majorEastAsia" w:hAnsiTheme="majorEastAsia" w:eastAsiaTheme="majorEastAsia"/>
          <w:szCs w:val="28"/>
        </w:rPr>
        <w:t>，始终把交通放在全市经济社会发展大局中来谋划和推动，努力打通“大动脉”、畅通“微循环”、当好“先行官”，在服务支撑三大攻坚战、三大战略行动等重大战略实施中当先锋、打头阵。</w:t>
      </w:r>
      <w:r>
        <w:rPr>
          <w:rFonts w:hint="eastAsia" w:asciiTheme="majorEastAsia" w:hAnsiTheme="majorEastAsia" w:eastAsiaTheme="majorEastAsia"/>
          <w:b/>
          <w:bCs/>
          <w:szCs w:val="28"/>
        </w:rPr>
        <w:t>必须坚持创新引领</w:t>
      </w:r>
      <w:r>
        <w:rPr>
          <w:rFonts w:hint="eastAsia" w:asciiTheme="majorEastAsia" w:hAnsiTheme="majorEastAsia" w:eastAsiaTheme="majorEastAsia"/>
          <w:szCs w:val="28"/>
        </w:rPr>
        <w:t>，始终把创新作为交通发展的第一动力，加快智慧交通发展，大力推进山区复杂条件下特大桥梁、特长隧道等领域关键技术创新突破，引领六盘水交通从“跟跑”向“并跑”甚至在某些领域“领跑”的华丽转身！</w:t>
      </w:r>
    </w:p>
    <w:p>
      <w:pPr>
        <w:spacing w:line="480" w:lineRule="auto"/>
        <w:ind w:firstLine="560" w:firstLineChars="200"/>
        <w:rPr>
          <w:rFonts w:asciiTheme="majorEastAsia" w:hAnsiTheme="majorEastAsia" w:eastAsiaTheme="majorEastAsia"/>
          <w:bCs/>
          <w:szCs w:val="28"/>
        </w:rPr>
      </w:pPr>
      <w:r>
        <w:rPr>
          <w:rFonts w:asciiTheme="majorEastAsia" w:hAnsiTheme="majorEastAsia" w:eastAsiaTheme="majorEastAsia"/>
          <w:szCs w:val="28"/>
        </w:rPr>
        <w:t>经过“十三五”期的快速发展，</w:t>
      </w:r>
      <w:r>
        <w:rPr>
          <w:rFonts w:hint="eastAsia" w:asciiTheme="majorEastAsia" w:hAnsiTheme="majorEastAsia" w:eastAsiaTheme="majorEastAsia"/>
          <w:szCs w:val="28"/>
        </w:rPr>
        <w:t>六盘水市</w:t>
      </w:r>
      <w:r>
        <w:rPr>
          <w:rFonts w:asciiTheme="majorEastAsia" w:hAnsiTheme="majorEastAsia" w:eastAsiaTheme="majorEastAsia"/>
          <w:szCs w:val="28"/>
        </w:rPr>
        <w:t>交通运输取得了丰硕的成果，</w:t>
      </w:r>
      <w:r>
        <w:rPr>
          <w:rFonts w:asciiTheme="majorEastAsia" w:hAnsiTheme="majorEastAsia" w:eastAsiaTheme="majorEastAsia"/>
          <w:bCs/>
          <w:szCs w:val="28"/>
        </w:rPr>
        <w:t>也收获了宝贵的发展经验。总结起来主要有四个方面：</w:t>
      </w:r>
    </w:p>
    <w:p>
      <w:pPr>
        <w:spacing w:line="480" w:lineRule="auto"/>
        <w:ind w:firstLine="562" w:firstLineChars="200"/>
        <w:rPr>
          <w:rFonts w:asciiTheme="majorEastAsia" w:hAnsiTheme="majorEastAsia" w:eastAsiaTheme="majorEastAsia"/>
          <w:szCs w:val="28"/>
        </w:rPr>
      </w:pPr>
      <w:r>
        <w:rPr>
          <w:rFonts w:asciiTheme="majorEastAsia" w:hAnsiTheme="majorEastAsia" w:eastAsiaTheme="majorEastAsia"/>
          <w:b/>
          <w:bCs/>
          <w:szCs w:val="28"/>
        </w:rPr>
        <w:t>1.高位推动</w:t>
      </w:r>
    </w:p>
    <w:p>
      <w:pPr>
        <w:spacing w:line="480" w:lineRule="auto"/>
        <w:ind w:firstLine="560" w:firstLineChars="200"/>
        <w:rPr>
          <w:rFonts w:asciiTheme="majorEastAsia" w:hAnsiTheme="majorEastAsia" w:eastAsiaTheme="majorEastAsia"/>
          <w:bCs/>
          <w:szCs w:val="28"/>
        </w:rPr>
      </w:pPr>
      <w:r>
        <w:rPr>
          <w:rFonts w:asciiTheme="majorEastAsia" w:hAnsiTheme="majorEastAsia" w:eastAsiaTheme="majorEastAsia"/>
          <w:bCs/>
          <w:szCs w:val="28"/>
        </w:rPr>
        <w:t>紧紧抓住“十三五”交通基础设施发展的黄金期，省委省政府通过资本金补助、贷款贴息、项目联审等多种方式，大力支持交通发展。设立交通产业发展基金和脱贫攻坚投资基金，出台支持农村公路发展的政策性金融政策。同时，</w:t>
      </w:r>
      <w:r>
        <w:rPr>
          <w:rFonts w:hint="eastAsia" w:asciiTheme="majorEastAsia" w:hAnsiTheme="majorEastAsia" w:eastAsiaTheme="majorEastAsia"/>
          <w:bCs/>
          <w:szCs w:val="28"/>
        </w:rPr>
        <w:t>市</w:t>
      </w:r>
      <w:r>
        <w:rPr>
          <w:rFonts w:asciiTheme="majorEastAsia" w:hAnsiTheme="majorEastAsia" w:eastAsiaTheme="majorEastAsia"/>
          <w:bCs/>
          <w:szCs w:val="28"/>
        </w:rPr>
        <w:t>政府高度重视，自上而下有力推进高速公路五年决战、组组通大会战的实施，集全</w:t>
      </w:r>
      <w:r>
        <w:rPr>
          <w:rFonts w:hint="eastAsia" w:asciiTheme="majorEastAsia" w:hAnsiTheme="majorEastAsia" w:eastAsiaTheme="majorEastAsia"/>
          <w:bCs/>
          <w:szCs w:val="28"/>
        </w:rPr>
        <w:t>市</w:t>
      </w:r>
      <w:r>
        <w:rPr>
          <w:rFonts w:asciiTheme="majorEastAsia" w:hAnsiTheme="majorEastAsia" w:eastAsiaTheme="majorEastAsia"/>
          <w:bCs/>
          <w:szCs w:val="28"/>
        </w:rPr>
        <w:t>之力办交通，</w:t>
      </w:r>
      <w:r>
        <w:rPr>
          <w:rFonts w:hint="eastAsia" w:asciiTheme="majorEastAsia" w:hAnsiTheme="majorEastAsia" w:eastAsiaTheme="majorEastAsia"/>
          <w:bCs/>
          <w:szCs w:val="28"/>
        </w:rPr>
        <w:t>深化农村公路管理养护体制改革，</w:t>
      </w:r>
      <w:r>
        <w:rPr>
          <w:rFonts w:asciiTheme="majorEastAsia" w:hAnsiTheme="majorEastAsia" w:eastAsiaTheme="majorEastAsia"/>
          <w:bCs/>
          <w:szCs w:val="28"/>
        </w:rPr>
        <w:t>为“十三五”期</w:t>
      </w:r>
      <w:r>
        <w:rPr>
          <w:rFonts w:hint="eastAsia" w:asciiTheme="majorEastAsia" w:hAnsiTheme="majorEastAsia" w:eastAsiaTheme="majorEastAsia"/>
          <w:bCs/>
          <w:szCs w:val="28"/>
        </w:rPr>
        <w:t>六盘水市</w:t>
      </w:r>
      <w:r>
        <w:rPr>
          <w:rFonts w:asciiTheme="majorEastAsia" w:hAnsiTheme="majorEastAsia" w:eastAsiaTheme="majorEastAsia"/>
          <w:bCs/>
          <w:szCs w:val="28"/>
        </w:rPr>
        <w:t>交通继续加快发展创造了良好条件。</w:t>
      </w:r>
    </w:p>
    <w:p>
      <w:pPr>
        <w:spacing w:line="480" w:lineRule="auto"/>
        <w:ind w:firstLine="562" w:firstLineChars="200"/>
        <w:rPr>
          <w:rFonts w:asciiTheme="majorEastAsia" w:hAnsiTheme="majorEastAsia" w:eastAsiaTheme="majorEastAsia"/>
          <w:b/>
          <w:bCs/>
          <w:szCs w:val="28"/>
        </w:rPr>
      </w:pPr>
      <w:r>
        <w:rPr>
          <w:rFonts w:asciiTheme="majorEastAsia" w:hAnsiTheme="majorEastAsia" w:eastAsiaTheme="majorEastAsia"/>
          <w:b/>
          <w:bCs/>
          <w:szCs w:val="28"/>
        </w:rPr>
        <w:t>2.规划引领</w:t>
      </w:r>
    </w:p>
    <w:p>
      <w:pPr>
        <w:spacing w:line="480" w:lineRule="auto"/>
        <w:ind w:firstLine="560" w:firstLineChars="200"/>
        <w:rPr>
          <w:rFonts w:asciiTheme="majorEastAsia" w:hAnsiTheme="majorEastAsia" w:eastAsiaTheme="majorEastAsia"/>
          <w:bCs/>
          <w:szCs w:val="28"/>
        </w:rPr>
      </w:pPr>
      <w:r>
        <w:rPr>
          <w:rFonts w:asciiTheme="majorEastAsia" w:hAnsiTheme="majorEastAsia" w:eastAsiaTheme="majorEastAsia"/>
          <w:bCs/>
          <w:szCs w:val="28"/>
        </w:rPr>
        <w:t>充分发挥规划的引领作用，按照《国家公路网规划（2013-2030年）》《贵州省高速公路网规划》《贵州省省道网规划（2012-2030年）》《</w:t>
      </w:r>
      <w:r>
        <w:rPr>
          <w:rFonts w:hint="eastAsia" w:asciiTheme="majorEastAsia" w:hAnsiTheme="majorEastAsia" w:eastAsiaTheme="majorEastAsia"/>
          <w:bCs/>
          <w:szCs w:val="28"/>
        </w:rPr>
        <w:t>六盘水市“十三五”交通运输发展总规划</w:t>
      </w:r>
      <w:r>
        <w:rPr>
          <w:rFonts w:asciiTheme="majorEastAsia" w:hAnsiTheme="majorEastAsia" w:eastAsiaTheme="majorEastAsia"/>
          <w:bCs/>
          <w:szCs w:val="28"/>
        </w:rPr>
        <w:t>》《贵州省高速公路网规划（加密规划）》《贵州省新时代高速公路建设五年决战实施方案》《组组通三年大决战行动计划》</w:t>
      </w:r>
      <w:r>
        <w:rPr>
          <w:rFonts w:hint="eastAsia" w:asciiTheme="majorEastAsia" w:hAnsiTheme="majorEastAsia" w:eastAsiaTheme="majorEastAsia"/>
          <w:bCs/>
          <w:szCs w:val="28"/>
        </w:rPr>
        <w:t>《六盘水市“路网会战”专项行动》《交通“383”规划》</w:t>
      </w:r>
      <w:r>
        <w:rPr>
          <w:rFonts w:asciiTheme="majorEastAsia" w:hAnsiTheme="majorEastAsia" w:eastAsiaTheme="majorEastAsia"/>
          <w:bCs/>
          <w:szCs w:val="28"/>
        </w:rPr>
        <w:t>等一系列重大规划中确定的目标任务，科学推进</w:t>
      </w:r>
      <w:r>
        <w:rPr>
          <w:rFonts w:hint="eastAsia" w:asciiTheme="majorEastAsia" w:hAnsiTheme="majorEastAsia" w:eastAsiaTheme="majorEastAsia"/>
          <w:bCs/>
          <w:szCs w:val="28"/>
        </w:rPr>
        <w:t>六盘水市</w:t>
      </w:r>
      <w:r>
        <w:rPr>
          <w:rFonts w:asciiTheme="majorEastAsia" w:hAnsiTheme="majorEastAsia" w:eastAsiaTheme="majorEastAsia"/>
          <w:bCs/>
          <w:szCs w:val="28"/>
        </w:rPr>
        <w:t>交通发展，为“十三五”期及未来更长一段时期的交通发展指引了方向、明确了重点。</w:t>
      </w:r>
    </w:p>
    <w:p>
      <w:pPr>
        <w:spacing w:line="480" w:lineRule="auto"/>
        <w:ind w:firstLine="562" w:firstLineChars="200"/>
        <w:rPr>
          <w:rFonts w:asciiTheme="majorEastAsia" w:hAnsiTheme="majorEastAsia" w:eastAsiaTheme="majorEastAsia"/>
          <w:b/>
          <w:bCs/>
          <w:szCs w:val="28"/>
        </w:rPr>
      </w:pPr>
      <w:r>
        <w:rPr>
          <w:rFonts w:asciiTheme="majorEastAsia" w:hAnsiTheme="majorEastAsia" w:eastAsiaTheme="majorEastAsia"/>
          <w:b/>
          <w:bCs/>
          <w:szCs w:val="28"/>
        </w:rPr>
        <w:t>3.先行先试</w:t>
      </w:r>
    </w:p>
    <w:p>
      <w:pPr>
        <w:spacing w:line="480" w:lineRule="auto"/>
        <w:ind w:firstLine="560" w:firstLineChars="200"/>
        <w:rPr>
          <w:rFonts w:asciiTheme="majorEastAsia" w:hAnsiTheme="majorEastAsia" w:eastAsiaTheme="majorEastAsia"/>
          <w:bCs/>
          <w:szCs w:val="28"/>
        </w:rPr>
      </w:pPr>
      <w:r>
        <w:rPr>
          <w:rFonts w:asciiTheme="majorEastAsia" w:hAnsiTheme="majorEastAsia" w:eastAsiaTheme="majorEastAsia"/>
          <w:bCs/>
          <w:szCs w:val="28"/>
        </w:rPr>
        <w:t>为积极发展</w:t>
      </w:r>
      <w:r>
        <w:rPr>
          <w:rFonts w:hint="eastAsia" w:asciiTheme="majorEastAsia" w:hAnsiTheme="majorEastAsia" w:eastAsiaTheme="majorEastAsia"/>
          <w:bCs/>
          <w:szCs w:val="28"/>
        </w:rPr>
        <w:t>“</w:t>
      </w:r>
      <w:r>
        <w:rPr>
          <w:rFonts w:asciiTheme="majorEastAsia" w:hAnsiTheme="majorEastAsia" w:eastAsiaTheme="majorEastAsia"/>
          <w:bCs/>
          <w:szCs w:val="28"/>
        </w:rPr>
        <w:t>交通+产业</w:t>
      </w:r>
      <w:r>
        <w:rPr>
          <w:rFonts w:hint="eastAsia" w:asciiTheme="majorEastAsia" w:hAnsiTheme="majorEastAsia" w:eastAsiaTheme="majorEastAsia"/>
          <w:bCs/>
          <w:szCs w:val="28"/>
        </w:rPr>
        <w:t>”</w:t>
      </w:r>
      <w:r>
        <w:rPr>
          <w:rFonts w:asciiTheme="majorEastAsia" w:hAnsiTheme="majorEastAsia" w:eastAsiaTheme="majorEastAsia"/>
          <w:bCs/>
          <w:szCs w:val="28"/>
        </w:rPr>
        <w:t>融合新业态，</w:t>
      </w:r>
      <w:r>
        <w:rPr>
          <w:rFonts w:hint="eastAsia" w:asciiTheme="majorEastAsia" w:hAnsiTheme="majorEastAsia" w:eastAsiaTheme="majorEastAsia"/>
          <w:bCs/>
          <w:szCs w:val="28"/>
        </w:rPr>
        <w:t>六盘水市</w:t>
      </w:r>
      <w:r>
        <w:rPr>
          <w:rFonts w:asciiTheme="majorEastAsia" w:hAnsiTheme="majorEastAsia" w:eastAsiaTheme="majorEastAsia"/>
          <w:bCs/>
          <w:szCs w:val="28"/>
        </w:rPr>
        <w:t>开展了“四好农村路”建设，</w:t>
      </w:r>
      <w:r>
        <w:rPr>
          <w:rFonts w:hint="eastAsia" w:asciiTheme="majorEastAsia" w:hAnsiTheme="majorEastAsia" w:eastAsiaTheme="majorEastAsia"/>
          <w:bCs/>
          <w:szCs w:val="28"/>
        </w:rPr>
        <w:t>已成功创建两个“四好农村路”全国示范县（钟山区、盘州市）和两个省级示范县（六枝特区、水城区）</w:t>
      </w:r>
      <w:r>
        <w:rPr>
          <w:rFonts w:asciiTheme="majorEastAsia" w:hAnsiTheme="majorEastAsia" w:eastAsiaTheme="majorEastAsia"/>
          <w:bCs/>
          <w:szCs w:val="28"/>
        </w:rPr>
        <w:t>，引导</w:t>
      </w:r>
      <w:r>
        <w:rPr>
          <w:rFonts w:hint="eastAsia" w:asciiTheme="majorEastAsia" w:hAnsiTheme="majorEastAsia" w:eastAsiaTheme="majorEastAsia"/>
          <w:bCs/>
          <w:szCs w:val="28"/>
        </w:rPr>
        <w:t>六盘水市</w:t>
      </w:r>
      <w:r>
        <w:rPr>
          <w:rFonts w:asciiTheme="majorEastAsia" w:hAnsiTheme="majorEastAsia" w:eastAsiaTheme="majorEastAsia"/>
          <w:bCs/>
          <w:szCs w:val="28"/>
        </w:rPr>
        <w:t>公路的建设发展从实践中愈发走向成熟。交通</w:t>
      </w:r>
      <w:r>
        <w:rPr>
          <w:rFonts w:hint="eastAsia" w:asciiTheme="majorEastAsia" w:hAnsiTheme="majorEastAsia" w:eastAsiaTheme="majorEastAsia"/>
          <w:bCs/>
          <w:szCs w:val="28"/>
        </w:rPr>
        <w:t>信息化</w:t>
      </w:r>
      <w:r>
        <w:rPr>
          <w:rFonts w:asciiTheme="majorEastAsia" w:hAnsiTheme="majorEastAsia" w:eastAsiaTheme="majorEastAsia"/>
          <w:bCs/>
          <w:szCs w:val="28"/>
        </w:rPr>
        <w:t>建设快速发展，</w:t>
      </w:r>
      <w:r>
        <w:rPr>
          <w:rFonts w:hint="eastAsia" w:asciiTheme="majorEastAsia" w:hAnsiTheme="majorEastAsia" w:eastAsiaTheme="majorEastAsia"/>
          <w:bCs/>
          <w:szCs w:val="28"/>
        </w:rPr>
        <w:t>建成公交智能调度系统、公交实时监控系统，完成交通一卡通公交乘车卡建设，公交出行手机APP线路查询、规划、充值上线应用。</w:t>
      </w:r>
      <w:r>
        <w:rPr>
          <w:rFonts w:asciiTheme="majorEastAsia" w:hAnsiTheme="majorEastAsia" w:eastAsiaTheme="majorEastAsia"/>
          <w:bCs/>
          <w:szCs w:val="28"/>
        </w:rPr>
        <w:t>新技术应用和革新为</w:t>
      </w:r>
      <w:r>
        <w:rPr>
          <w:rFonts w:hint="eastAsia" w:asciiTheme="majorEastAsia" w:hAnsiTheme="majorEastAsia" w:eastAsiaTheme="majorEastAsia"/>
          <w:bCs/>
          <w:szCs w:val="28"/>
        </w:rPr>
        <w:t>交通</w:t>
      </w:r>
      <w:r>
        <w:rPr>
          <w:rFonts w:asciiTheme="majorEastAsia" w:hAnsiTheme="majorEastAsia" w:eastAsiaTheme="majorEastAsia"/>
          <w:bCs/>
          <w:szCs w:val="28"/>
        </w:rPr>
        <w:t>建设发展提供了重要动力。</w:t>
      </w:r>
    </w:p>
    <w:p>
      <w:pPr>
        <w:spacing w:line="480" w:lineRule="auto"/>
        <w:ind w:firstLine="562" w:firstLineChars="200"/>
        <w:rPr>
          <w:rFonts w:asciiTheme="majorEastAsia" w:hAnsiTheme="majorEastAsia" w:eastAsiaTheme="majorEastAsia"/>
          <w:b/>
          <w:bCs/>
          <w:szCs w:val="28"/>
        </w:rPr>
      </w:pPr>
      <w:r>
        <w:rPr>
          <w:rFonts w:asciiTheme="majorEastAsia" w:hAnsiTheme="majorEastAsia" w:eastAsiaTheme="majorEastAsia"/>
          <w:b/>
          <w:bCs/>
          <w:szCs w:val="28"/>
        </w:rPr>
        <w:t>4.多元融资</w:t>
      </w:r>
    </w:p>
    <w:p>
      <w:pPr>
        <w:spacing w:line="480" w:lineRule="auto"/>
        <w:ind w:firstLine="560" w:firstLineChars="200"/>
        <w:rPr>
          <w:rFonts w:asciiTheme="majorEastAsia" w:hAnsiTheme="majorEastAsia" w:eastAsiaTheme="majorEastAsia"/>
          <w:bCs/>
          <w:szCs w:val="28"/>
        </w:rPr>
      </w:pPr>
      <w:r>
        <w:rPr>
          <w:rFonts w:asciiTheme="majorEastAsia" w:hAnsiTheme="majorEastAsia" w:eastAsiaTheme="majorEastAsia"/>
          <w:szCs w:val="28"/>
        </w:rPr>
        <w:t>非收费公路领域，充分利用了央企的资金、人才、技术优势，</w:t>
      </w:r>
      <w:r>
        <w:rPr>
          <w:rFonts w:asciiTheme="majorEastAsia" w:hAnsiTheme="majorEastAsia" w:eastAsiaTheme="majorEastAsia"/>
          <w:bCs/>
          <w:szCs w:val="28"/>
        </w:rPr>
        <w:t>采用</w:t>
      </w:r>
      <w:r>
        <w:rPr>
          <w:rFonts w:hint="eastAsia" w:asciiTheme="majorEastAsia" w:hAnsiTheme="majorEastAsia" w:eastAsiaTheme="majorEastAsia"/>
          <w:bCs/>
          <w:szCs w:val="28"/>
        </w:rPr>
        <w:t>“建养一体化”模式</w:t>
      </w:r>
      <w:r>
        <w:rPr>
          <w:rFonts w:asciiTheme="majorEastAsia" w:hAnsiTheme="majorEastAsia" w:eastAsiaTheme="majorEastAsia"/>
          <w:bCs/>
          <w:szCs w:val="28"/>
        </w:rPr>
        <w:t>加快推进普通国省道及农村公路项目建设。在旅游公路方面，改变以往完全依靠政府投资建设旅游公路的模式</w:t>
      </w:r>
      <w:r>
        <w:rPr>
          <w:rFonts w:hint="eastAsia" w:asciiTheme="majorEastAsia" w:hAnsiTheme="majorEastAsia" w:eastAsiaTheme="majorEastAsia"/>
          <w:bCs/>
          <w:szCs w:val="28"/>
        </w:rPr>
        <w:t>，充分利用国省道补助资金，成立“干线公路旅游特色和景观环保改造示范项目”专项基金；利用旅游公路旅游服务设施建设、旅游产品性质以及带动周边旅游经济发展等一系列特点，以“经营”的理念拓展投资类型，增加建设资金来源。六盘水市积极整合发改、扶贫、林业、住建等专项资金，</w:t>
      </w:r>
      <w:r>
        <w:rPr>
          <w:rFonts w:asciiTheme="majorEastAsia" w:hAnsiTheme="majorEastAsia" w:eastAsiaTheme="majorEastAsia"/>
          <w:bCs/>
          <w:szCs w:val="28"/>
        </w:rPr>
        <w:t>多方筹资解决建设资金问题。</w:t>
      </w:r>
    </w:p>
    <w:p>
      <w:pPr>
        <w:pStyle w:val="3"/>
        <w:rPr>
          <w:rFonts w:asciiTheme="majorEastAsia" w:hAnsiTheme="majorEastAsia" w:eastAsiaTheme="majorEastAsia"/>
        </w:rPr>
      </w:pPr>
      <w:bookmarkStart w:id="158" w:name="_Toc51756513"/>
      <w:bookmarkStart w:id="159" w:name="_Toc89102163"/>
      <w:r>
        <w:rPr>
          <w:rFonts w:asciiTheme="majorEastAsia" w:hAnsiTheme="majorEastAsia" w:eastAsiaTheme="majorEastAsia"/>
        </w:rPr>
        <w:t>2.2 主要问题与薄弱环节</w:t>
      </w:r>
      <w:bookmarkEnd w:id="158"/>
      <w:bookmarkEnd w:id="159"/>
    </w:p>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经过“十三五”期的快速发展，六盘水市交通运输已经取得显著成就，但是与全面建成小康社会的要求相比，与转变发展方式、提质增效升级等要求相比，全市交通运输发展还存在一些问题和薄弱环节，主要表现在以下几个方面。</w:t>
      </w:r>
    </w:p>
    <w:p>
      <w:pPr>
        <w:pStyle w:val="4"/>
        <w:rPr>
          <w:rFonts w:asciiTheme="majorEastAsia" w:hAnsiTheme="majorEastAsia" w:eastAsiaTheme="majorEastAsia"/>
        </w:rPr>
      </w:pPr>
      <w:bookmarkStart w:id="160" w:name="_Toc78550984"/>
      <w:bookmarkStart w:id="161" w:name="_Toc76993382"/>
      <w:bookmarkStart w:id="162" w:name="_Toc72513417"/>
      <w:bookmarkStart w:id="163" w:name="_Toc89102164"/>
      <w:bookmarkStart w:id="164" w:name="_Toc82161440"/>
      <w:bookmarkStart w:id="165" w:name="_Toc73625941"/>
      <w:bookmarkStart w:id="166" w:name="_Toc78813458"/>
      <w:bookmarkStart w:id="167" w:name="_Toc81406369"/>
      <w:bookmarkStart w:id="168" w:name="_Toc76490205"/>
      <w:bookmarkStart w:id="169" w:name="_Toc72777965"/>
      <w:bookmarkStart w:id="170" w:name="_Toc75518114"/>
      <w:bookmarkStart w:id="171" w:name="_Toc66367396"/>
      <w:bookmarkStart w:id="172" w:name="_Toc66367591"/>
      <w:bookmarkStart w:id="173" w:name="_Toc66367222"/>
      <w:bookmarkStart w:id="174" w:name="_Toc56264675"/>
      <w:bookmarkStart w:id="175" w:name="_Toc58318720"/>
      <w:bookmarkStart w:id="176" w:name="_Toc63600981"/>
      <w:bookmarkStart w:id="177" w:name="_Toc66367309"/>
      <w:bookmarkStart w:id="178" w:name="_Toc66179107"/>
      <w:bookmarkStart w:id="179" w:name="_Toc80103495"/>
      <w:bookmarkStart w:id="180" w:name="_Toc79048540"/>
      <w:bookmarkStart w:id="181" w:name="_Toc79923755"/>
      <w:bookmarkStart w:id="182" w:name="_Toc78374955"/>
      <w:bookmarkStart w:id="183" w:name="_Toc80715945"/>
      <w:bookmarkStart w:id="184" w:name="_Toc78556404"/>
      <w:bookmarkStart w:id="185" w:name="_Toc76994075"/>
      <w:bookmarkStart w:id="186" w:name="_Toc76994459"/>
      <w:r>
        <w:rPr>
          <w:rFonts w:hint="eastAsia" w:asciiTheme="majorEastAsia" w:hAnsiTheme="majorEastAsia" w:eastAsiaTheme="majorEastAsia"/>
        </w:rPr>
        <w:t>（一）基础设施网络供给能力薄弱</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pPr>
        <w:ind w:firstLine="562" w:firstLineChars="200"/>
        <w:rPr>
          <w:rFonts w:asciiTheme="majorEastAsia" w:hAnsiTheme="majorEastAsia" w:eastAsiaTheme="majorEastAsia"/>
          <w:szCs w:val="28"/>
        </w:rPr>
      </w:pPr>
      <w:r>
        <w:rPr>
          <w:rFonts w:hint="eastAsia" w:asciiTheme="majorEastAsia" w:hAnsiTheme="majorEastAsia" w:eastAsiaTheme="majorEastAsia"/>
          <w:b/>
          <w:szCs w:val="28"/>
        </w:rPr>
        <w:t>高速公路服务范围和能力有待加强</w:t>
      </w:r>
      <w:r>
        <w:rPr>
          <w:rFonts w:hint="eastAsia" w:asciiTheme="majorEastAsia" w:hAnsiTheme="majorEastAsia" w:eastAsiaTheme="majorEastAsia"/>
          <w:szCs w:val="28"/>
        </w:rPr>
        <w:t>。高速公路网亟待完善，需进一步加密，扩大服务范围与广度，提升通行能力，充分发挥辐射带动功能。截止目前全市已建成“三横一纵一环线”的高速公路网，高速公路通车里程达到440公里，与规划目标相差较远，对外</w:t>
      </w:r>
      <w:r>
        <w:rPr>
          <w:rFonts w:asciiTheme="majorEastAsia" w:hAnsiTheme="majorEastAsia" w:eastAsiaTheme="majorEastAsia"/>
          <w:szCs w:val="28"/>
        </w:rPr>
        <w:t>通道数量不足，</w:t>
      </w:r>
      <w:r>
        <w:rPr>
          <w:rFonts w:hint="eastAsia" w:asciiTheme="majorEastAsia" w:hAnsiTheme="majorEastAsia" w:eastAsiaTheme="majorEastAsia"/>
          <w:szCs w:val="28"/>
        </w:rPr>
        <w:t>无法支撑乡村振兴、巩固脱贫攻坚成果，</w:t>
      </w:r>
      <w:r>
        <w:rPr>
          <w:rFonts w:asciiTheme="majorEastAsia" w:hAnsiTheme="majorEastAsia" w:eastAsiaTheme="majorEastAsia"/>
          <w:szCs w:val="28"/>
        </w:rPr>
        <w:t>与周边</w:t>
      </w:r>
      <w:r>
        <w:rPr>
          <w:rFonts w:hint="eastAsia" w:asciiTheme="majorEastAsia" w:hAnsiTheme="majorEastAsia" w:eastAsiaTheme="majorEastAsia"/>
          <w:szCs w:val="28"/>
        </w:rPr>
        <w:t>城市</w:t>
      </w:r>
      <w:r>
        <w:rPr>
          <w:rFonts w:asciiTheme="majorEastAsia" w:hAnsiTheme="majorEastAsia" w:eastAsiaTheme="majorEastAsia"/>
          <w:szCs w:val="28"/>
        </w:rPr>
        <w:t>之间的联系有待进一步强化</w:t>
      </w:r>
      <w:r>
        <w:rPr>
          <w:rFonts w:hint="eastAsia" w:asciiTheme="majorEastAsia" w:hAnsiTheme="majorEastAsia" w:eastAsiaTheme="majorEastAsia"/>
          <w:szCs w:val="28"/>
        </w:rPr>
        <w:t>。</w:t>
      </w:r>
      <w:r>
        <w:rPr>
          <w:rFonts w:asciiTheme="majorEastAsia" w:hAnsiTheme="majorEastAsia" w:eastAsiaTheme="majorEastAsia"/>
          <w:szCs w:val="28"/>
        </w:rPr>
        <w:t>早期建成、标准较低的高速公路交通拥堵现象进一步凸显</w:t>
      </w:r>
      <w:r>
        <w:rPr>
          <w:rFonts w:hint="eastAsia" w:asciiTheme="majorEastAsia" w:hAnsiTheme="majorEastAsia" w:eastAsiaTheme="majorEastAsia"/>
          <w:szCs w:val="28"/>
        </w:rPr>
        <w:t>，</w:t>
      </w:r>
      <w:r>
        <w:rPr>
          <w:rFonts w:asciiTheme="majorEastAsia" w:hAnsiTheme="majorEastAsia" w:eastAsiaTheme="majorEastAsia"/>
          <w:szCs w:val="28"/>
        </w:rPr>
        <w:t>路网效率、安全性和可靠性有待进一步提升。</w:t>
      </w:r>
    </w:p>
    <w:p>
      <w:pPr>
        <w:ind w:firstLine="562" w:firstLineChars="200"/>
        <w:rPr>
          <w:rFonts w:asciiTheme="majorEastAsia" w:hAnsiTheme="majorEastAsia" w:eastAsiaTheme="majorEastAsia"/>
          <w:b/>
          <w:bCs/>
          <w:szCs w:val="28"/>
        </w:rPr>
      </w:pPr>
      <w:r>
        <w:rPr>
          <w:rFonts w:asciiTheme="majorEastAsia" w:hAnsiTheme="majorEastAsia" w:eastAsiaTheme="majorEastAsia"/>
          <w:b/>
          <w:bCs/>
          <w:szCs w:val="28"/>
        </w:rPr>
        <w:t>公路网“两头强、中间弱”，省道已成为路网的“中梗阻”。</w:t>
      </w:r>
      <w:r>
        <w:rPr>
          <w:rFonts w:hint="eastAsia" w:asciiTheme="majorEastAsia" w:hAnsiTheme="majorEastAsia" w:eastAsiaTheme="majorEastAsia"/>
          <w:szCs w:val="28"/>
        </w:rPr>
        <w:t>“十三五”末，普通国道二级及以上比重仅为</w:t>
      </w:r>
      <w:r>
        <w:rPr>
          <w:rFonts w:asciiTheme="majorEastAsia" w:hAnsiTheme="majorEastAsia" w:eastAsiaTheme="majorEastAsia"/>
          <w:szCs w:val="28"/>
        </w:rPr>
        <w:t>67.5%</w:t>
      </w:r>
      <w:r>
        <w:rPr>
          <w:rFonts w:hint="eastAsia" w:asciiTheme="majorEastAsia" w:hAnsiTheme="majorEastAsia" w:eastAsiaTheme="majorEastAsia"/>
          <w:szCs w:val="28"/>
        </w:rPr>
        <w:t>，普通省道三级以上比例仅为52.</w:t>
      </w:r>
      <w:r>
        <w:rPr>
          <w:rFonts w:asciiTheme="majorEastAsia" w:hAnsiTheme="majorEastAsia" w:eastAsiaTheme="majorEastAsia"/>
          <w:szCs w:val="28"/>
        </w:rPr>
        <w:t>5</w:t>
      </w:r>
      <w:r>
        <w:rPr>
          <w:rFonts w:hint="eastAsia" w:asciiTheme="majorEastAsia" w:hAnsiTheme="majorEastAsia" w:eastAsiaTheme="majorEastAsia"/>
          <w:szCs w:val="28"/>
        </w:rPr>
        <w:t>%，技术等级普遍偏低，安全隐患突出，导致高速公路出入口和重要交通枢纽与城镇、产业节点衔接不畅，对地方经济社会发展的支撑能力不足，已成为制约经济社会发展的“中梗阻”，六盘水作为能源型城市，运煤车等通行车辆高于其他地方，对道路等级和养护管理水平要求较高，亟需提级改造。此外，国省道改造进展缓慢，干线公路标准较低，乡镇通二级公路建设缓于预期，整个路网结构呈现出“两头强、中间弱”。</w:t>
      </w:r>
      <w:r>
        <w:rPr>
          <w:rFonts w:asciiTheme="majorEastAsia" w:hAnsiTheme="majorEastAsia" w:eastAsiaTheme="majorEastAsia"/>
          <w:szCs w:val="28"/>
        </w:rPr>
        <w:t xml:space="preserve"> </w:t>
      </w:r>
    </w:p>
    <w:p>
      <w:pPr>
        <w:ind w:firstLine="562" w:firstLineChars="200"/>
        <w:rPr>
          <w:rFonts w:asciiTheme="majorEastAsia" w:hAnsiTheme="majorEastAsia" w:eastAsiaTheme="majorEastAsia"/>
          <w:szCs w:val="28"/>
        </w:rPr>
      </w:pPr>
      <w:r>
        <w:rPr>
          <w:rFonts w:asciiTheme="majorEastAsia" w:hAnsiTheme="majorEastAsia" w:eastAsiaTheme="majorEastAsia"/>
          <w:b/>
          <w:bCs/>
          <w:szCs w:val="28"/>
        </w:rPr>
        <w:t>农村公路对乡村振兴战略的支撑能力仍显不足，服务品质有待提升。</w:t>
      </w:r>
      <w:r>
        <w:rPr>
          <w:rFonts w:asciiTheme="majorEastAsia" w:hAnsiTheme="majorEastAsia" w:eastAsiaTheme="majorEastAsia"/>
          <w:szCs w:val="28"/>
        </w:rPr>
        <w:t>“十三五”末，</w:t>
      </w:r>
      <w:r>
        <w:rPr>
          <w:rFonts w:hint="eastAsia" w:asciiTheme="majorEastAsia" w:hAnsiTheme="majorEastAsia" w:eastAsiaTheme="majorEastAsia"/>
          <w:szCs w:val="28"/>
        </w:rPr>
        <w:t>六盘水市</w:t>
      </w:r>
      <w:r>
        <w:rPr>
          <w:rFonts w:asciiTheme="majorEastAsia" w:hAnsiTheme="majorEastAsia" w:eastAsiaTheme="majorEastAsia"/>
          <w:szCs w:val="28"/>
        </w:rPr>
        <w:t>在建制村通畅基础上又实现了“组组通”，</w:t>
      </w:r>
      <w:r>
        <w:rPr>
          <w:rFonts w:hint="eastAsia" w:asciiTheme="majorEastAsia" w:hAnsiTheme="majorEastAsia" w:eastAsiaTheme="majorEastAsia"/>
          <w:szCs w:val="28"/>
        </w:rPr>
        <w:t>较好的完成了全市农村公路建设和养护目标。</w:t>
      </w:r>
      <w:r>
        <w:rPr>
          <w:rFonts w:asciiTheme="majorEastAsia" w:hAnsiTheme="majorEastAsia" w:eastAsiaTheme="majorEastAsia"/>
          <w:szCs w:val="28"/>
        </w:rPr>
        <w:t>但农村公路整体技术等级低</w:t>
      </w:r>
      <w:r>
        <w:rPr>
          <w:rFonts w:hint="eastAsia" w:asciiTheme="majorEastAsia" w:hAnsiTheme="majorEastAsia" w:eastAsiaTheme="majorEastAsia"/>
          <w:szCs w:val="28"/>
        </w:rPr>
        <w:t>，农村公路中四级及等外级公路占比达到</w:t>
      </w:r>
      <w:r>
        <w:rPr>
          <w:rFonts w:asciiTheme="majorEastAsia" w:hAnsiTheme="majorEastAsia" w:eastAsiaTheme="majorEastAsia"/>
          <w:szCs w:val="28"/>
        </w:rPr>
        <w:t>95.6</w:t>
      </w:r>
      <w:r>
        <w:rPr>
          <w:rFonts w:hint="eastAsia" w:asciiTheme="majorEastAsia" w:hAnsiTheme="majorEastAsia" w:eastAsiaTheme="majorEastAsia"/>
          <w:szCs w:val="28"/>
        </w:rPr>
        <w:t>%，</w:t>
      </w:r>
      <w:r>
        <w:rPr>
          <w:rFonts w:asciiTheme="majorEastAsia" w:hAnsiTheme="majorEastAsia" w:eastAsiaTheme="majorEastAsia"/>
          <w:szCs w:val="28"/>
        </w:rPr>
        <w:t>路况较差，抗灾害能力弱</w:t>
      </w:r>
      <w:r>
        <w:rPr>
          <w:rFonts w:hint="eastAsia" w:asciiTheme="majorEastAsia" w:hAnsiTheme="majorEastAsia" w:eastAsiaTheme="majorEastAsia"/>
          <w:szCs w:val="28"/>
        </w:rPr>
        <w:t>，</w:t>
      </w:r>
      <w:r>
        <w:rPr>
          <w:rFonts w:asciiTheme="majorEastAsia" w:hAnsiTheme="majorEastAsia" w:eastAsiaTheme="majorEastAsia"/>
          <w:szCs w:val="28"/>
        </w:rPr>
        <w:t>“油返砂”</w:t>
      </w:r>
      <w:r>
        <w:rPr>
          <w:rFonts w:hint="eastAsia" w:asciiTheme="majorEastAsia" w:hAnsiTheme="majorEastAsia" w:eastAsiaTheme="majorEastAsia"/>
          <w:szCs w:val="28"/>
        </w:rPr>
        <w:t xml:space="preserve"> “畅返不畅”、</w:t>
      </w:r>
      <w:r>
        <w:rPr>
          <w:rFonts w:asciiTheme="majorEastAsia" w:hAnsiTheme="majorEastAsia" w:eastAsiaTheme="majorEastAsia"/>
          <w:szCs w:val="28"/>
        </w:rPr>
        <w:t>窄路面通行效率和安全性不高等问题较为突出，</w:t>
      </w:r>
      <w:r>
        <w:rPr>
          <w:rFonts w:hint="eastAsia" w:asciiTheme="majorEastAsia" w:hAnsiTheme="majorEastAsia" w:eastAsiaTheme="majorEastAsia"/>
          <w:szCs w:val="28"/>
        </w:rPr>
        <w:t>许多连接特色农村旅游、生态旅游、扶贫旅游景点的公路达不到便捷舒适的行车要求，路网的联通性和服务水平还有待提升。</w:t>
      </w:r>
      <w:r>
        <w:rPr>
          <w:rFonts w:asciiTheme="majorEastAsia" w:hAnsiTheme="majorEastAsia" w:eastAsiaTheme="majorEastAsia"/>
          <w:szCs w:val="28"/>
        </w:rPr>
        <w:t>农村公路整体品质与“四好农村路”和美丽乡村路的要求差距仍然较大，对乡村振兴和美丽乡村建设的支撑作用有待进一步发挥</w:t>
      </w:r>
      <w:r>
        <w:rPr>
          <w:rFonts w:hint="eastAsia" w:asciiTheme="majorEastAsia" w:hAnsiTheme="majorEastAsia" w:eastAsiaTheme="majorEastAsia"/>
          <w:szCs w:val="28"/>
        </w:rPr>
        <w:t>。“十四五”还需要继续加强“四好农村路”建设，在安全性、抗灾能力、廊道美化等方面，进一步提高农村公路品质，形成一批各具特色的美丽乡村田园公路。</w:t>
      </w:r>
    </w:p>
    <w:p>
      <w:pPr>
        <w:ind w:firstLine="562" w:firstLineChars="200"/>
        <w:rPr>
          <w:rFonts w:asciiTheme="majorEastAsia" w:hAnsiTheme="majorEastAsia" w:eastAsiaTheme="majorEastAsia"/>
          <w:bCs/>
          <w:szCs w:val="28"/>
        </w:rPr>
      </w:pPr>
      <w:r>
        <w:rPr>
          <w:rFonts w:hint="eastAsia" w:asciiTheme="majorEastAsia" w:hAnsiTheme="majorEastAsia" w:eastAsiaTheme="majorEastAsia"/>
          <w:b/>
          <w:bCs/>
          <w:szCs w:val="28"/>
        </w:rPr>
        <w:t>水路运输大通道未形成，基础设施条件较差。</w:t>
      </w:r>
      <w:r>
        <w:rPr>
          <w:rFonts w:hint="eastAsia" w:asciiTheme="majorEastAsia" w:hAnsiTheme="majorEastAsia" w:eastAsiaTheme="majorEastAsia"/>
          <w:bCs/>
          <w:szCs w:val="28"/>
        </w:rPr>
        <w:t>北盘江、三岔河主要水运通道尚未实现全线贯通，未能实现通江达海、干支衔接，通航设施建设滞后，水运通道被迫划分成区间通航，水运的中长距离运输优势难以发挥。水运码头基础设施配套不完善，如：部分码头未设置公共厕所，已设置厕所的码头与创建文明城市的要求还存在差距，生活污水的转运处置存在污染风险，部分码头固体生活垃圾的转运、处置尚不完善，码头区域段路上交通无明确标志标牌，通往码头的农村公路安全防护设施需进一步完善。</w:t>
      </w:r>
    </w:p>
    <w:p>
      <w:pPr>
        <w:ind w:firstLine="562" w:firstLineChars="200"/>
        <w:rPr>
          <w:rFonts w:asciiTheme="majorEastAsia" w:hAnsiTheme="majorEastAsia" w:eastAsiaTheme="majorEastAsia"/>
          <w:bCs/>
          <w:szCs w:val="28"/>
        </w:rPr>
      </w:pPr>
      <w:r>
        <w:rPr>
          <w:rFonts w:asciiTheme="majorEastAsia" w:hAnsiTheme="majorEastAsia" w:eastAsiaTheme="majorEastAsia"/>
          <w:b/>
          <w:bCs/>
          <w:szCs w:val="28"/>
        </w:rPr>
        <w:t>综合运输</w:t>
      </w:r>
      <w:r>
        <w:rPr>
          <w:rFonts w:hint="eastAsia" w:asciiTheme="majorEastAsia" w:hAnsiTheme="majorEastAsia" w:eastAsiaTheme="majorEastAsia"/>
          <w:b/>
          <w:bCs/>
          <w:szCs w:val="28"/>
        </w:rPr>
        <w:t>站无法满足需求。</w:t>
      </w:r>
      <w:r>
        <w:rPr>
          <w:rFonts w:hint="eastAsia" w:asciiTheme="majorEastAsia" w:hAnsiTheme="majorEastAsia" w:eastAsiaTheme="majorEastAsia"/>
          <w:bCs/>
          <w:szCs w:val="28"/>
        </w:rPr>
        <w:t>公交车、出租车等公共交通运输场站的建设远远不能满足日益增长的出行需求，无专用公共交通停车场、洗车场等。大部分农村客运站因站点选址、规模、其他软硬件设施不配套等原因无法投入使用，目前在建成的客运站中，利用率仅为18%，资源闲置浪费现象严重。货运站场尚未形成规模，分布较散。超限检测站基础设施建设滞后。盘州市目前运行4个超限检测站中有2个站已建成科技治超检测站，钟山区2个超限检测站，市局治超大队罗家寨检测站因称重检测设备损坏，无维修资金，已暂停运行。</w:t>
      </w:r>
    </w:p>
    <w:p>
      <w:pPr>
        <w:pStyle w:val="4"/>
        <w:rPr>
          <w:rFonts w:asciiTheme="majorEastAsia" w:hAnsiTheme="majorEastAsia" w:eastAsiaTheme="majorEastAsia"/>
        </w:rPr>
      </w:pPr>
      <w:bookmarkStart w:id="187" w:name="_Toc72777966"/>
      <w:bookmarkStart w:id="188" w:name="_Toc66179108"/>
      <w:bookmarkStart w:id="189" w:name="_Toc80103496"/>
      <w:bookmarkStart w:id="190" w:name="_Toc56264676"/>
      <w:bookmarkStart w:id="191" w:name="_Toc66367310"/>
      <w:bookmarkStart w:id="192" w:name="_Toc66367397"/>
      <w:bookmarkStart w:id="193" w:name="_Toc63600982"/>
      <w:bookmarkStart w:id="194" w:name="_Toc72513418"/>
      <w:bookmarkStart w:id="195" w:name="_Toc66367592"/>
      <w:bookmarkStart w:id="196" w:name="_Toc58318721"/>
      <w:bookmarkStart w:id="197" w:name="_Toc66367223"/>
      <w:bookmarkStart w:id="198" w:name="_Toc80715946"/>
      <w:bookmarkStart w:id="199" w:name="_Toc73625942"/>
      <w:bookmarkStart w:id="200" w:name="_Toc75518115"/>
      <w:bookmarkStart w:id="201" w:name="_Toc76993383"/>
      <w:bookmarkStart w:id="202" w:name="_Toc76490206"/>
      <w:bookmarkStart w:id="203" w:name="_Toc76994076"/>
      <w:bookmarkStart w:id="204" w:name="_Toc76994460"/>
      <w:bookmarkStart w:id="205" w:name="_Toc79048541"/>
      <w:bookmarkStart w:id="206" w:name="_Toc78813459"/>
      <w:bookmarkStart w:id="207" w:name="_Toc78556405"/>
      <w:bookmarkStart w:id="208" w:name="_Toc78374956"/>
      <w:bookmarkStart w:id="209" w:name="_Toc78550985"/>
      <w:bookmarkStart w:id="210" w:name="_Toc79923756"/>
      <w:bookmarkStart w:id="211" w:name="_Toc81406370"/>
      <w:bookmarkStart w:id="212" w:name="_Toc82161441"/>
      <w:bookmarkStart w:id="213" w:name="_Toc89102165"/>
      <w:r>
        <w:rPr>
          <w:rFonts w:hint="eastAsia" w:asciiTheme="majorEastAsia" w:hAnsiTheme="majorEastAsia" w:eastAsiaTheme="majorEastAsia"/>
        </w:rPr>
        <w:t>（二）交通与城市发展亟待协调</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pPr>
        <w:ind w:firstLine="560" w:firstLineChars="200"/>
        <w:rPr>
          <w:rFonts w:asciiTheme="majorEastAsia" w:hAnsiTheme="majorEastAsia" w:eastAsiaTheme="majorEastAsia"/>
          <w:bCs/>
          <w:szCs w:val="28"/>
        </w:rPr>
      </w:pPr>
      <w:r>
        <w:rPr>
          <w:rFonts w:hint="eastAsia" w:asciiTheme="majorEastAsia" w:hAnsiTheme="majorEastAsia" w:eastAsiaTheme="majorEastAsia"/>
          <w:bCs/>
          <w:szCs w:val="28"/>
        </w:rPr>
        <w:t>目前，六盘水市综合交通发展面临与城市空间结构不协调、难以支撑六盘水产业转型，主要体现在：</w:t>
      </w:r>
    </w:p>
    <w:p>
      <w:pPr>
        <w:ind w:firstLine="562" w:firstLineChars="200"/>
        <w:rPr>
          <w:rFonts w:asciiTheme="majorEastAsia" w:hAnsiTheme="majorEastAsia" w:eastAsiaTheme="majorEastAsia"/>
          <w:bCs/>
          <w:szCs w:val="28"/>
        </w:rPr>
      </w:pPr>
      <w:r>
        <w:rPr>
          <w:rFonts w:hint="eastAsia" w:asciiTheme="majorEastAsia" w:hAnsiTheme="majorEastAsia" w:eastAsiaTheme="majorEastAsia"/>
          <w:b/>
          <w:szCs w:val="28"/>
        </w:rPr>
        <w:t>枢纽与城市空间发展错配。</w:t>
      </w:r>
      <w:r>
        <w:rPr>
          <w:rFonts w:hint="eastAsia" w:asciiTheme="majorEastAsia" w:hAnsiTheme="majorEastAsia" w:eastAsiaTheme="majorEastAsia"/>
          <w:szCs w:val="28"/>
        </w:rPr>
        <w:t>六盘水市区际通道建设明显滞后，连接滇中城市经济圈、毕水兴经济区的运输通道能力明显不足，城市对外交通与城市交通体系融合不够，辐射带动周边县域作用能力有待提升。近年来，六盘水市虽然陆续实现了县县通高速，但交通辐射带动周边县域作用能力不强，如六枝特区和盘州市。港口与重要节点通达性较差，无港口专用运输公路。</w:t>
      </w:r>
    </w:p>
    <w:p>
      <w:pPr>
        <w:ind w:firstLine="562" w:firstLineChars="200"/>
        <w:rPr>
          <w:rFonts w:asciiTheme="majorEastAsia" w:hAnsiTheme="majorEastAsia" w:eastAsiaTheme="majorEastAsia"/>
          <w:szCs w:val="28"/>
        </w:rPr>
      </w:pPr>
      <w:r>
        <w:rPr>
          <w:rFonts w:hint="eastAsia" w:asciiTheme="majorEastAsia" w:hAnsiTheme="majorEastAsia" w:eastAsiaTheme="majorEastAsia"/>
          <w:b/>
          <w:szCs w:val="28"/>
        </w:rPr>
        <w:t>运输方式间协调衔接亟待增强。</w:t>
      </w:r>
      <w:r>
        <w:rPr>
          <w:rFonts w:hint="eastAsia" w:asciiTheme="majorEastAsia" w:hAnsiTheme="majorEastAsia" w:eastAsiaTheme="majorEastAsia"/>
          <w:szCs w:val="28"/>
        </w:rPr>
        <w:t>“十三五”期，六盘水市客货运输站场建设有序推进，但综合客运枢纽、多式联运型物流园区、公路集疏运体系建设仍有待加强，目前未能实现客运“零距离”换乘和货运“无缝衔接”，运输衔接效率和服务品质仍需提高。囿于体制机制，综合交通枢纽项目多为简单“拼接”，衔接融合不畅，较综合交通一体化的理念和要求存在较大差距。货运枢纽（物流园区）多式联运和物流公共信息平台服务功能较弱，疏港公路等集疏运系统建设相对滞后，港口尚未实现与物流园区、腹地内重要城镇、重要产业基地以及后方交通干线或运输站场的无缝衔接，影响了货运服务效能发挥。</w:t>
      </w:r>
    </w:p>
    <w:p>
      <w:pPr>
        <w:overflowPunct w:val="0"/>
        <w:spacing w:line="560" w:lineRule="exact"/>
        <w:ind w:firstLine="562" w:firstLineChars="200"/>
        <w:rPr>
          <w:rFonts w:eastAsia="FangSong_GB2312"/>
          <w:sz w:val="32"/>
          <w:szCs w:val="22"/>
        </w:rPr>
      </w:pPr>
      <w:r>
        <w:rPr>
          <w:rFonts w:asciiTheme="majorEastAsia" w:hAnsiTheme="majorEastAsia" w:eastAsiaTheme="majorEastAsia"/>
          <w:b/>
          <w:szCs w:val="28"/>
        </w:rPr>
        <w:t>融合发展仍有差距。</w:t>
      </w:r>
      <w:r>
        <w:rPr>
          <w:rFonts w:asciiTheme="majorEastAsia" w:hAnsiTheme="majorEastAsia" w:eastAsiaTheme="majorEastAsia"/>
          <w:szCs w:val="28"/>
        </w:rPr>
        <w:t>高速公路服务区商业、物流、交旅融合等衍生业态不多，盘活交通存量资产相对滞后，交通产业发展尚未破题，枢纽经济研究还不深</w:t>
      </w:r>
      <w:r>
        <w:rPr>
          <w:rFonts w:hint="eastAsia" w:asciiTheme="majorEastAsia" w:hAnsiTheme="majorEastAsia" w:eastAsiaTheme="majorEastAsia"/>
          <w:szCs w:val="28"/>
        </w:rPr>
        <w:t>入</w:t>
      </w:r>
      <w:r>
        <w:rPr>
          <w:rFonts w:asciiTheme="majorEastAsia" w:hAnsiTheme="majorEastAsia" w:eastAsiaTheme="majorEastAsia"/>
          <w:szCs w:val="28"/>
        </w:rPr>
        <w:t>等等。</w:t>
      </w:r>
    </w:p>
    <w:p>
      <w:pPr>
        <w:pStyle w:val="4"/>
        <w:rPr>
          <w:rFonts w:asciiTheme="majorEastAsia" w:hAnsiTheme="majorEastAsia" w:eastAsiaTheme="majorEastAsia"/>
        </w:rPr>
      </w:pPr>
      <w:bookmarkStart w:id="214" w:name="_Toc66179109"/>
      <w:bookmarkStart w:id="215" w:name="_Toc66367593"/>
      <w:bookmarkStart w:id="216" w:name="_Toc58318722"/>
      <w:bookmarkStart w:id="217" w:name="_Toc66367224"/>
      <w:bookmarkStart w:id="218" w:name="_Toc66367311"/>
      <w:bookmarkStart w:id="219" w:name="_Toc63600983"/>
      <w:bookmarkStart w:id="220" w:name="_Toc66367398"/>
      <w:bookmarkStart w:id="221" w:name="_Toc56264677"/>
      <w:bookmarkStart w:id="222" w:name="_Toc72513419"/>
      <w:bookmarkStart w:id="223" w:name="_Toc72777967"/>
      <w:bookmarkStart w:id="224" w:name="_Toc73625943"/>
      <w:bookmarkStart w:id="225" w:name="_Toc75518116"/>
      <w:bookmarkStart w:id="226" w:name="_Toc76490207"/>
      <w:bookmarkStart w:id="227" w:name="_Toc76993384"/>
      <w:bookmarkStart w:id="228" w:name="_Toc76994077"/>
      <w:bookmarkStart w:id="229" w:name="_Toc76994461"/>
      <w:bookmarkStart w:id="230" w:name="_Toc78374957"/>
      <w:bookmarkStart w:id="231" w:name="_Toc78550986"/>
      <w:bookmarkStart w:id="232" w:name="_Toc78556406"/>
      <w:bookmarkStart w:id="233" w:name="_Toc78813460"/>
      <w:bookmarkStart w:id="234" w:name="_Toc79048542"/>
      <w:bookmarkStart w:id="235" w:name="_Toc79923757"/>
      <w:bookmarkStart w:id="236" w:name="_Toc80103497"/>
      <w:bookmarkStart w:id="237" w:name="_Toc80715947"/>
      <w:bookmarkStart w:id="238" w:name="_Toc81406371"/>
      <w:bookmarkStart w:id="239" w:name="_Toc82161442"/>
      <w:bookmarkStart w:id="240" w:name="_Toc89102166"/>
      <w:r>
        <w:rPr>
          <w:rFonts w:hint="eastAsia" w:asciiTheme="majorEastAsia" w:hAnsiTheme="majorEastAsia" w:eastAsiaTheme="majorEastAsia"/>
        </w:rPr>
        <w:t>（三）投资压力持续增大</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pPr>
        <w:ind w:firstLine="562" w:firstLineChars="200"/>
        <w:rPr>
          <w:rFonts w:asciiTheme="majorEastAsia" w:hAnsiTheme="majorEastAsia" w:eastAsiaTheme="majorEastAsia"/>
          <w:b/>
        </w:rPr>
      </w:pPr>
      <w:r>
        <w:rPr>
          <w:rFonts w:hint="eastAsia" w:asciiTheme="majorEastAsia" w:hAnsiTheme="majorEastAsia" w:eastAsiaTheme="majorEastAsia"/>
          <w:b/>
        </w:rPr>
        <w:t>公路建设资金不足。</w:t>
      </w:r>
      <w:r>
        <w:rPr>
          <w:rFonts w:hint="eastAsia" w:asciiTheme="majorEastAsia" w:hAnsiTheme="majorEastAsia" w:eastAsiaTheme="majorEastAsia"/>
        </w:rPr>
        <w:t>“十三五期”地方基础设施建设资金投入较大，同时国家融资政策收紧，地方建设资金筹集困难，严重影响了项目的顺利推进。公路建设任务重，工程造价高，一些已建成油路的农村公路还面临集中大中修工程，工程建设资金压力很大。同时一些农村公路跨越高山、峡谷、河流及其他不良地质路段多，汛期降雨叠加损毁较严重，地质灾害隐患路段长，隐患治理所需资金缺口大。</w:t>
      </w:r>
    </w:p>
    <w:p>
      <w:pPr>
        <w:ind w:firstLine="562" w:firstLineChars="200"/>
        <w:rPr>
          <w:rFonts w:asciiTheme="majorEastAsia" w:hAnsiTheme="majorEastAsia" w:eastAsiaTheme="majorEastAsia"/>
        </w:rPr>
      </w:pPr>
      <w:r>
        <w:rPr>
          <w:rFonts w:hint="eastAsia" w:asciiTheme="majorEastAsia" w:hAnsiTheme="majorEastAsia" w:eastAsiaTheme="majorEastAsia"/>
          <w:b/>
        </w:rPr>
        <w:t>信息化建设投融资压力大，融资渠道单一。</w:t>
      </w:r>
      <w:r>
        <w:rPr>
          <w:rFonts w:hint="eastAsia" w:asciiTheme="majorEastAsia" w:hAnsiTheme="majorEastAsia" w:eastAsiaTheme="majorEastAsia"/>
        </w:rPr>
        <w:t>信息化建设主要依靠政府的投资体制，融资渠道狭窄，缺乏上级部门信息化建设资金支持，信息化建设投资尚未完全纳入地方各级交通运输部门的年度预算，无专项资金安排，挤占挪用现象依然存在。</w:t>
      </w:r>
    </w:p>
    <w:p>
      <w:pPr>
        <w:pStyle w:val="4"/>
        <w:rPr>
          <w:rFonts w:asciiTheme="majorEastAsia" w:hAnsiTheme="majorEastAsia" w:eastAsiaTheme="majorEastAsia"/>
        </w:rPr>
      </w:pPr>
      <w:bookmarkStart w:id="241" w:name="_Toc56264678"/>
      <w:bookmarkStart w:id="242" w:name="_Toc58318723"/>
      <w:bookmarkStart w:id="243" w:name="_Toc63600984"/>
      <w:bookmarkStart w:id="244" w:name="_Toc66179110"/>
      <w:bookmarkStart w:id="245" w:name="_Toc66367225"/>
      <w:bookmarkStart w:id="246" w:name="_Toc66367312"/>
      <w:bookmarkStart w:id="247" w:name="_Toc72513420"/>
      <w:bookmarkStart w:id="248" w:name="_Toc66367594"/>
      <w:bookmarkStart w:id="249" w:name="_Toc66367399"/>
      <w:bookmarkStart w:id="250" w:name="_Toc72777968"/>
      <w:bookmarkStart w:id="251" w:name="_Toc73625944"/>
      <w:bookmarkStart w:id="252" w:name="_Toc75518117"/>
      <w:bookmarkStart w:id="253" w:name="_Toc76490208"/>
      <w:bookmarkStart w:id="254" w:name="_Toc76993385"/>
      <w:bookmarkStart w:id="255" w:name="_Toc76994078"/>
      <w:bookmarkStart w:id="256" w:name="_Toc76994462"/>
      <w:bookmarkStart w:id="257" w:name="_Toc78374958"/>
      <w:bookmarkStart w:id="258" w:name="_Toc78550987"/>
      <w:bookmarkStart w:id="259" w:name="_Toc78556407"/>
      <w:bookmarkStart w:id="260" w:name="_Toc78813461"/>
      <w:bookmarkStart w:id="261" w:name="_Toc79048543"/>
      <w:bookmarkStart w:id="262" w:name="_Toc79923758"/>
      <w:bookmarkStart w:id="263" w:name="_Toc80103498"/>
      <w:bookmarkStart w:id="264" w:name="_Toc80715948"/>
      <w:bookmarkStart w:id="265" w:name="_Toc81406372"/>
      <w:bookmarkStart w:id="266" w:name="_Toc82161443"/>
      <w:bookmarkStart w:id="267" w:name="_Toc89102167"/>
      <w:r>
        <w:rPr>
          <w:rFonts w:hint="eastAsia" w:asciiTheme="majorEastAsia" w:hAnsiTheme="majorEastAsia" w:eastAsiaTheme="majorEastAsia"/>
        </w:rPr>
        <w:t>（四）运输服务品质有待提升</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pPr>
        <w:ind w:firstLine="562" w:firstLineChars="200"/>
        <w:rPr>
          <w:rFonts w:asciiTheme="majorEastAsia" w:hAnsiTheme="majorEastAsia" w:eastAsiaTheme="majorEastAsia"/>
        </w:rPr>
      </w:pPr>
      <w:r>
        <w:rPr>
          <w:rFonts w:asciiTheme="majorEastAsia" w:hAnsiTheme="majorEastAsia" w:eastAsiaTheme="majorEastAsia"/>
          <w:b/>
          <w:szCs w:val="28"/>
        </w:rPr>
        <w:t>港口综合服务能力不足</w:t>
      </w:r>
      <w:r>
        <w:rPr>
          <w:rFonts w:hint="eastAsia" w:asciiTheme="majorEastAsia" w:hAnsiTheme="majorEastAsia" w:eastAsiaTheme="majorEastAsia"/>
          <w:b/>
          <w:szCs w:val="28"/>
        </w:rPr>
        <w:t>。</w:t>
      </w:r>
      <w:r>
        <w:rPr>
          <w:rFonts w:hint="eastAsia" w:asciiTheme="majorEastAsia" w:hAnsiTheme="majorEastAsia" w:eastAsiaTheme="majorEastAsia"/>
        </w:rPr>
        <w:t>现阶段尚未形成以港口为依托的区域性物流中心和物流园区，港口物流业发展总体水平较低，港口功能单一。</w:t>
      </w:r>
    </w:p>
    <w:p>
      <w:pPr>
        <w:spacing w:line="240" w:lineRule="auto"/>
        <w:ind w:firstLine="562" w:firstLineChars="200"/>
        <w:rPr>
          <w:rFonts w:asciiTheme="majorEastAsia" w:hAnsiTheme="majorEastAsia" w:eastAsiaTheme="majorEastAsia"/>
          <w:sz w:val="32"/>
          <w:szCs w:val="30"/>
        </w:rPr>
      </w:pPr>
      <w:r>
        <w:rPr>
          <w:rFonts w:hint="eastAsia" w:asciiTheme="majorEastAsia" w:hAnsiTheme="majorEastAsia" w:eastAsiaTheme="majorEastAsia"/>
          <w:b/>
          <w:szCs w:val="28"/>
        </w:rPr>
        <w:t>城市公共交通发展不充分。</w:t>
      </w:r>
      <w:r>
        <w:rPr>
          <w:rFonts w:hint="eastAsia" w:asciiTheme="majorEastAsia" w:hAnsiTheme="majorEastAsia" w:eastAsiaTheme="majorEastAsia"/>
        </w:rPr>
        <w:t>公交基础设施建设不足、路权优先保障欠缺等问题仍然较为普遍。出租汽车行业改革任重道远，改革过程中依然存在着经营权改革进度慢、运价调节机制僵化，与新业态存在着不公平竞争等问题。新兴的网约车行业规范发展水平、管理能力仍然亟待提高。</w:t>
      </w:r>
    </w:p>
    <w:p>
      <w:pPr>
        <w:ind w:firstLine="550" w:firstLineChars="196"/>
        <w:rPr>
          <w:rFonts w:asciiTheme="majorEastAsia" w:hAnsiTheme="majorEastAsia" w:eastAsiaTheme="majorEastAsia"/>
        </w:rPr>
      </w:pPr>
      <w:r>
        <w:rPr>
          <w:rFonts w:hint="eastAsia" w:asciiTheme="majorEastAsia" w:hAnsiTheme="majorEastAsia" w:eastAsiaTheme="majorEastAsia"/>
          <w:b/>
        </w:rPr>
        <w:t>村村通客运存在较大的安全隐患。</w:t>
      </w:r>
      <w:r>
        <w:rPr>
          <w:rFonts w:hint="eastAsia" w:asciiTheme="majorEastAsia" w:hAnsiTheme="majorEastAsia" w:eastAsiaTheme="majorEastAsia"/>
        </w:rPr>
        <w:t>较多通村公路等级较低，路况较差，对客运安全存在一定的威胁，使得村村通客运进程发展缓慢。</w:t>
      </w:r>
    </w:p>
    <w:p>
      <w:pPr>
        <w:ind w:firstLine="550" w:firstLineChars="196"/>
        <w:rPr>
          <w:rFonts w:asciiTheme="majorEastAsia" w:hAnsiTheme="majorEastAsia" w:eastAsiaTheme="majorEastAsia"/>
        </w:rPr>
      </w:pPr>
      <w:r>
        <w:rPr>
          <w:rFonts w:asciiTheme="majorEastAsia" w:hAnsiTheme="majorEastAsia" w:eastAsiaTheme="majorEastAsia"/>
          <w:b/>
        </w:rPr>
        <w:t>货运物流组织化程度偏低。</w:t>
      </w:r>
      <w:r>
        <w:rPr>
          <w:rFonts w:hint="eastAsia" w:asciiTheme="majorEastAsia" w:hAnsiTheme="majorEastAsia" w:eastAsiaTheme="majorEastAsia"/>
        </w:rPr>
        <w:t>全市规模物流企业少，普遍存在小、散、弱问题，723家货运经营业户中车辆数超过20辆的只有97户，其中90%为个体经营。货运市场管理不够规范，运输服务质量不高。对于货运物流，由于管理权限制约，欠缺物流规划顶层设计，整个物流行业发展受限。对于普通货运，由于缺乏有效的管理手段，导致普通货运一直未能走向规模化集约化发展。</w:t>
      </w:r>
    </w:p>
    <w:p>
      <w:pPr>
        <w:ind w:firstLine="550" w:firstLineChars="196"/>
        <w:rPr>
          <w:rFonts w:asciiTheme="majorEastAsia" w:hAnsiTheme="majorEastAsia" w:eastAsiaTheme="majorEastAsia"/>
        </w:rPr>
      </w:pPr>
      <w:r>
        <w:rPr>
          <w:rFonts w:hint="eastAsia" w:asciiTheme="majorEastAsia" w:hAnsiTheme="majorEastAsia" w:eastAsiaTheme="majorEastAsia"/>
          <w:b/>
        </w:rPr>
        <w:t>高品质客运服务供给不足</w:t>
      </w:r>
      <w:r>
        <w:rPr>
          <w:rFonts w:hint="eastAsia" w:asciiTheme="majorEastAsia" w:hAnsiTheme="majorEastAsia" w:eastAsiaTheme="majorEastAsia"/>
          <w:b/>
          <w:sz w:val="32"/>
          <w:szCs w:val="32"/>
        </w:rPr>
        <w:t>。</w:t>
      </w:r>
      <w:r>
        <w:rPr>
          <w:rFonts w:hint="eastAsia" w:asciiTheme="majorEastAsia" w:hAnsiTheme="majorEastAsia" w:eastAsiaTheme="majorEastAsia"/>
        </w:rPr>
        <w:t>中心城区公交车无专用公共交通停车场，农村客运站利用率仅为18%。定制客运、运游融合等新业态、新模式发展不足，个性化、高品质的客运服务供给能力有待提升，旅客联程运输发展滞后。农村客运班线公交化改造难度大，城乡客运服务均等化仍然存在较大差距，村民出行最后一公里问题难以解决。</w:t>
      </w:r>
    </w:p>
    <w:p>
      <w:pPr>
        <w:pStyle w:val="4"/>
        <w:rPr>
          <w:rFonts w:asciiTheme="majorEastAsia" w:hAnsiTheme="majorEastAsia" w:eastAsiaTheme="majorEastAsia"/>
        </w:rPr>
      </w:pPr>
      <w:bookmarkStart w:id="268" w:name="_Toc72513421"/>
      <w:bookmarkStart w:id="269" w:name="_Toc58318724"/>
      <w:bookmarkStart w:id="270" w:name="_Toc66367595"/>
      <w:bookmarkStart w:id="271" w:name="_Toc56264679"/>
      <w:bookmarkStart w:id="272" w:name="_Toc66179111"/>
      <w:bookmarkStart w:id="273" w:name="_Toc66367400"/>
      <w:bookmarkStart w:id="274" w:name="_Toc66367313"/>
      <w:bookmarkStart w:id="275" w:name="_Toc63600985"/>
      <w:bookmarkStart w:id="276" w:name="_Toc66367226"/>
      <w:bookmarkStart w:id="277" w:name="_Toc72777969"/>
      <w:bookmarkStart w:id="278" w:name="_Toc73625945"/>
      <w:bookmarkStart w:id="279" w:name="_Toc75518118"/>
      <w:bookmarkStart w:id="280" w:name="_Toc76490209"/>
      <w:bookmarkStart w:id="281" w:name="_Toc76993386"/>
      <w:bookmarkStart w:id="282" w:name="_Toc76994079"/>
      <w:bookmarkStart w:id="283" w:name="_Toc76994463"/>
      <w:bookmarkStart w:id="284" w:name="_Toc78374959"/>
      <w:bookmarkStart w:id="285" w:name="_Toc78550988"/>
      <w:bookmarkStart w:id="286" w:name="_Toc78556408"/>
      <w:bookmarkStart w:id="287" w:name="_Toc78813462"/>
      <w:bookmarkStart w:id="288" w:name="_Toc79048544"/>
      <w:bookmarkStart w:id="289" w:name="_Toc79923759"/>
      <w:bookmarkStart w:id="290" w:name="_Toc80103499"/>
      <w:bookmarkStart w:id="291" w:name="_Toc80715949"/>
      <w:bookmarkStart w:id="292" w:name="_Toc81406373"/>
      <w:bookmarkStart w:id="293" w:name="_Toc82161444"/>
      <w:bookmarkStart w:id="294" w:name="_Toc89102168"/>
      <w:r>
        <w:rPr>
          <w:rFonts w:hint="eastAsia" w:asciiTheme="majorEastAsia" w:hAnsiTheme="majorEastAsia" w:eastAsiaTheme="majorEastAsia"/>
        </w:rPr>
        <w:t>（五）行业治理能力有待提高</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pPr>
        <w:ind w:firstLine="562" w:firstLineChars="200"/>
        <w:rPr>
          <w:rFonts w:asciiTheme="majorEastAsia" w:hAnsiTheme="majorEastAsia" w:eastAsiaTheme="majorEastAsia"/>
        </w:rPr>
      </w:pPr>
      <w:r>
        <w:rPr>
          <w:rFonts w:hint="eastAsia" w:asciiTheme="majorEastAsia" w:hAnsiTheme="majorEastAsia" w:eastAsiaTheme="majorEastAsia"/>
          <w:b/>
        </w:rPr>
        <w:t>“重建轻养”的现象依然存在</w:t>
      </w:r>
      <w:r>
        <w:rPr>
          <w:rFonts w:hint="eastAsia" w:asciiTheme="majorEastAsia" w:hAnsiTheme="majorEastAsia" w:eastAsiaTheme="majorEastAsia"/>
        </w:rPr>
        <w:t>。部分市区农村公路养护管理机构不健全，农村公路建设市场信用评价体系建设滞后，管养人员缺乏，县级政府投入的养护资金有限，管养责任难以得到有效落实，乡村公路尤其是村组公路管护缺失严重。</w:t>
      </w:r>
    </w:p>
    <w:p>
      <w:pPr>
        <w:ind w:firstLine="562" w:firstLineChars="200"/>
        <w:rPr>
          <w:rFonts w:asciiTheme="majorEastAsia" w:hAnsiTheme="majorEastAsia" w:eastAsiaTheme="majorEastAsia"/>
        </w:rPr>
      </w:pPr>
      <w:r>
        <w:rPr>
          <w:rFonts w:hint="eastAsia" w:asciiTheme="majorEastAsia" w:hAnsiTheme="majorEastAsia" w:eastAsiaTheme="majorEastAsia"/>
          <w:b/>
        </w:rPr>
        <w:t>行业管理亟需加强。</w:t>
      </w:r>
      <w:r>
        <w:rPr>
          <w:rFonts w:hint="eastAsia" w:asciiTheme="majorEastAsia" w:hAnsiTheme="majorEastAsia" w:eastAsiaTheme="majorEastAsia"/>
          <w:bCs/>
        </w:rPr>
        <w:t>全市公路里程14741公里（不含组组通公路）、公路营运汽车</w:t>
      </w:r>
      <w:r>
        <w:rPr>
          <w:rFonts w:asciiTheme="majorEastAsia" w:hAnsiTheme="majorEastAsia" w:eastAsiaTheme="majorEastAsia"/>
          <w:bCs/>
        </w:rPr>
        <w:t>2.37</w:t>
      </w:r>
      <w:r>
        <w:rPr>
          <w:rFonts w:hint="eastAsia" w:asciiTheme="majorEastAsia" w:hAnsiTheme="majorEastAsia" w:eastAsiaTheme="majorEastAsia"/>
          <w:bCs/>
        </w:rPr>
        <w:t>万辆、各类船舶</w:t>
      </w:r>
      <w:r>
        <w:rPr>
          <w:rFonts w:asciiTheme="majorEastAsia" w:hAnsiTheme="majorEastAsia" w:eastAsiaTheme="majorEastAsia"/>
          <w:bCs/>
        </w:rPr>
        <w:t>546</w:t>
      </w:r>
      <w:r>
        <w:rPr>
          <w:rFonts w:hint="eastAsia" w:asciiTheme="majorEastAsia" w:hAnsiTheme="majorEastAsia" w:eastAsiaTheme="majorEastAsia"/>
          <w:bCs/>
        </w:rPr>
        <w:t>艘，安全风险点多、线长、面广，属地治超责任未全面落实，安全生产形势仍处于高位波动期。质量安全监管人员人均管理里程287.4公里，质量安全监管难度大。出租车、网约车服务水平不高，网约车合规订单率仅为</w:t>
      </w:r>
      <w:r>
        <w:rPr>
          <w:rFonts w:asciiTheme="majorEastAsia" w:hAnsiTheme="majorEastAsia" w:eastAsiaTheme="majorEastAsia"/>
          <w:bCs/>
        </w:rPr>
        <w:t>27</w:t>
      </w:r>
      <w:r>
        <w:rPr>
          <w:rFonts w:hint="eastAsia" w:asciiTheme="majorEastAsia" w:hAnsiTheme="majorEastAsia" w:eastAsiaTheme="majorEastAsia"/>
          <w:bCs/>
        </w:rPr>
        <w:t>%，非法营运屡禁不止，交通领域“两拖欠”现象依然存在。</w:t>
      </w:r>
      <w:r>
        <w:rPr>
          <w:rFonts w:hint="eastAsia" w:asciiTheme="majorEastAsia" w:hAnsiTheme="majorEastAsia" w:eastAsiaTheme="majorEastAsia"/>
        </w:rPr>
        <w:t>行业管理精细化程度仍不能适应交通网络运行效率和服务水平提升的要求，对新业态、新模式的行业监管能力不足。面对交通运输行业的改革，部分干部职工思想浮躁，不能适应道路运输管理工作的新常态。交通建设行业还未能形成良好的依法行政法制环境，质量法制工作体系有待进一步完善。</w:t>
      </w:r>
    </w:p>
    <w:p>
      <w:pPr>
        <w:pStyle w:val="4"/>
        <w:rPr>
          <w:rFonts w:asciiTheme="majorEastAsia" w:hAnsiTheme="majorEastAsia" w:eastAsiaTheme="majorEastAsia"/>
        </w:rPr>
      </w:pPr>
      <w:bookmarkStart w:id="295" w:name="_Toc56264680"/>
      <w:bookmarkStart w:id="296" w:name="_Toc63600986"/>
      <w:bookmarkStart w:id="297" w:name="_Toc58318725"/>
      <w:bookmarkStart w:id="298" w:name="_Toc66367227"/>
      <w:bookmarkStart w:id="299" w:name="_Toc66367401"/>
      <w:bookmarkStart w:id="300" w:name="_Toc66367596"/>
      <w:bookmarkStart w:id="301" w:name="_Toc66367314"/>
      <w:bookmarkStart w:id="302" w:name="_Toc72513422"/>
      <w:bookmarkStart w:id="303" w:name="_Toc66179112"/>
      <w:bookmarkStart w:id="304" w:name="_Toc72777970"/>
      <w:bookmarkStart w:id="305" w:name="_Toc73625946"/>
      <w:bookmarkStart w:id="306" w:name="_Toc75518119"/>
      <w:bookmarkStart w:id="307" w:name="_Toc76490210"/>
      <w:bookmarkStart w:id="308" w:name="_Toc76993387"/>
      <w:bookmarkStart w:id="309" w:name="_Toc76994080"/>
      <w:bookmarkStart w:id="310" w:name="_Toc76994464"/>
      <w:bookmarkStart w:id="311" w:name="_Toc78374960"/>
      <w:bookmarkStart w:id="312" w:name="_Toc78550989"/>
      <w:bookmarkStart w:id="313" w:name="_Toc78556409"/>
      <w:bookmarkStart w:id="314" w:name="_Toc78813463"/>
      <w:bookmarkStart w:id="315" w:name="_Toc79048545"/>
      <w:bookmarkStart w:id="316" w:name="_Toc79923760"/>
      <w:bookmarkStart w:id="317" w:name="_Toc80103500"/>
      <w:bookmarkStart w:id="318" w:name="_Toc80715950"/>
      <w:bookmarkStart w:id="319" w:name="_Toc81406374"/>
      <w:bookmarkStart w:id="320" w:name="_Toc82161445"/>
      <w:bookmarkStart w:id="321" w:name="_Toc89102169"/>
      <w:r>
        <w:rPr>
          <w:rFonts w:hint="eastAsia" w:asciiTheme="majorEastAsia" w:hAnsiTheme="majorEastAsia" w:eastAsiaTheme="majorEastAsia"/>
        </w:rPr>
        <w:t>（六）平安交通建设有待加强</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pPr>
        <w:ind w:firstLine="562" w:firstLineChars="200"/>
        <w:jc w:val="left"/>
        <w:rPr>
          <w:rFonts w:asciiTheme="majorEastAsia" w:hAnsiTheme="majorEastAsia" w:eastAsiaTheme="majorEastAsia"/>
        </w:rPr>
      </w:pPr>
      <w:r>
        <w:rPr>
          <w:rFonts w:hint="eastAsia" w:asciiTheme="majorEastAsia" w:hAnsiTheme="majorEastAsia" w:eastAsiaTheme="majorEastAsia"/>
          <w:b/>
        </w:rPr>
        <w:t>重点领域安全监管不到位。</w:t>
      </w:r>
      <w:r>
        <w:rPr>
          <w:rFonts w:hint="eastAsia" w:asciiTheme="majorEastAsia" w:hAnsiTheme="majorEastAsia" w:eastAsiaTheme="majorEastAsia"/>
        </w:rPr>
        <w:t>重点公路项目存在点多线长面广的特点，违章违法施工屡禁不止。农村公路跨越高山、峡谷、河流及其他不良地质路段多，汛期降雨叠加损毁较严重，隐患治理亟需加强。水上交通安全监管紧缺，船舶也未安装全球卫星定位系统，无法实现船舶的动态监控。安全管理人员文化素质普遍较低，从业人员安全知识和安全技能普遍匮乏，违章操作行为不断。需要加强安全监管，科学研判、辨识并有效管控各领域安全生产风险坚决防范重特大事故发生。</w:t>
      </w:r>
    </w:p>
    <w:p>
      <w:pPr>
        <w:ind w:firstLine="562" w:firstLineChars="200"/>
        <w:jc w:val="left"/>
        <w:rPr>
          <w:rFonts w:asciiTheme="majorEastAsia" w:hAnsiTheme="majorEastAsia" w:eastAsiaTheme="majorEastAsia"/>
          <w:b/>
        </w:rPr>
      </w:pPr>
      <w:r>
        <w:rPr>
          <w:rFonts w:hint="eastAsia" w:asciiTheme="majorEastAsia" w:hAnsiTheme="majorEastAsia" w:eastAsiaTheme="majorEastAsia"/>
          <w:b/>
        </w:rPr>
        <w:t>应急救援保障不足。</w:t>
      </w:r>
      <w:r>
        <w:rPr>
          <w:rFonts w:hint="eastAsia" w:asciiTheme="majorEastAsia" w:hAnsiTheme="majorEastAsia" w:eastAsiaTheme="majorEastAsia"/>
        </w:rPr>
        <w:t>六盘水市水上应急救援发展相对薄弱，不能适应水运行业安全运行、高效管理的新要求。多数通航水域缺乏必要的水上安全监管设施设备，救援船队等设施等级不高，一定程度上降低了行业的安全保障和服务能力。</w:t>
      </w:r>
    </w:p>
    <w:p>
      <w:pPr>
        <w:pStyle w:val="4"/>
        <w:rPr>
          <w:rFonts w:asciiTheme="majorEastAsia" w:hAnsiTheme="majorEastAsia" w:eastAsiaTheme="majorEastAsia"/>
        </w:rPr>
      </w:pPr>
      <w:bookmarkStart w:id="322" w:name="_Toc66367402"/>
      <w:bookmarkStart w:id="323" w:name="_Toc58318726"/>
      <w:bookmarkStart w:id="324" w:name="_Toc63600987"/>
      <w:bookmarkStart w:id="325" w:name="_Toc72513423"/>
      <w:bookmarkStart w:id="326" w:name="_Toc66179113"/>
      <w:bookmarkStart w:id="327" w:name="_Toc66367315"/>
      <w:bookmarkStart w:id="328" w:name="_Toc66367597"/>
      <w:bookmarkStart w:id="329" w:name="_Toc56264681"/>
      <w:bookmarkStart w:id="330" w:name="_Toc66367228"/>
      <w:bookmarkStart w:id="331" w:name="_Toc72777971"/>
      <w:bookmarkStart w:id="332" w:name="_Toc73625947"/>
      <w:bookmarkStart w:id="333" w:name="_Toc75518120"/>
      <w:bookmarkStart w:id="334" w:name="_Toc76490211"/>
      <w:bookmarkStart w:id="335" w:name="_Toc76993388"/>
      <w:bookmarkStart w:id="336" w:name="_Toc76994081"/>
      <w:bookmarkStart w:id="337" w:name="_Toc76994465"/>
      <w:bookmarkStart w:id="338" w:name="_Toc78374961"/>
      <w:bookmarkStart w:id="339" w:name="_Toc78550990"/>
      <w:bookmarkStart w:id="340" w:name="_Toc78556410"/>
      <w:bookmarkStart w:id="341" w:name="_Toc78813464"/>
      <w:bookmarkStart w:id="342" w:name="_Toc79048546"/>
      <w:bookmarkStart w:id="343" w:name="_Toc79923761"/>
      <w:bookmarkStart w:id="344" w:name="_Toc80103501"/>
      <w:bookmarkStart w:id="345" w:name="_Toc80715951"/>
      <w:bookmarkStart w:id="346" w:name="_Toc81406375"/>
      <w:bookmarkStart w:id="347" w:name="_Toc82161446"/>
      <w:bookmarkStart w:id="348" w:name="_Toc89102170"/>
      <w:r>
        <w:rPr>
          <w:rFonts w:hint="eastAsia" w:asciiTheme="majorEastAsia" w:hAnsiTheme="majorEastAsia" w:eastAsiaTheme="majorEastAsia"/>
        </w:rPr>
        <w:t>（七）交通信息化发展支撑能力不足</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pPr>
        <w:ind w:firstLine="562" w:firstLineChars="200"/>
        <w:rPr>
          <w:rFonts w:asciiTheme="majorEastAsia" w:hAnsiTheme="majorEastAsia" w:eastAsiaTheme="majorEastAsia"/>
        </w:rPr>
      </w:pPr>
      <w:r>
        <w:rPr>
          <w:rFonts w:hint="eastAsia" w:asciiTheme="majorEastAsia" w:hAnsiTheme="majorEastAsia" w:eastAsiaTheme="majorEastAsia"/>
          <w:b/>
        </w:rPr>
        <w:t>信息化建设缺乏有效的体制机制。</w:t>
      </w:r>
      <w:r>
        <w:rPr>
          <w:rFonts w:hint="eastAsia" w:asciiTheme="majorEastAsia" w:hAnsiTheme="majorEastAsia" w:eastAsiaTheme="majorEastAsia"/>
        </w:rPr>
        <w:t>交通治理手段相对传统粗放，基于网络的、上下联动的交通监测、指挥机制尚未形成，信息报送机制有待完善，应急征用补偿机制运行不畅，缺乏有效的制度保障。交通运输决策分析能力相对较弱，缺少专门的信息化建设组织机构，决策分析处于“盲人摸象”状态。</w:t>
      </w:r>
    </w:p>
    <w:p>
      <w:pPr>
        <w:ind w:firstLine="562" w:firstLineChars="200"/>
        <w:rPr>
          <w:rFonts w:asciiTheme="majorEastAsia" w:hAnsiTheme="majorEastAsia" w:eastAsiaTheme="majorEastAsia"/>
        </w:rPr>
      </w:pPr>
      <w:r>
        <w:rPr>
          <w:rFonts w:hint="eastAsia" w:asciiTheme="majorEastAsia" w:hAnsiTheme="majorEastAsia" w:eastAsiaTheme="majorEastAsia"/>
          <w:b/>
        </w:rPr>
        <w:t>人性化的信息服务体系尚未建立。</w:t>
      </w:r>
      <w:r>
        <w:rPr>
          <w:rFonts w:hint="eastAsia" w:asciiTheme="majorEastAsia" w:hAnsiTheme="majorEastAsia" w:eastAsiaTheme="majorEastAsia"/>
        </w:rPr>
        <w:t>公众可获取的其他方式出行信息极其有限。</w:t>
      </w:r>
    </w:p>
    <w:p>
      <w:pPr>
        <w:ind w:firstLine="562" w:firstLineChars="200"/>
        <w:rPr>
          <w:rFonts w:asciiTheme="majorEastAsia" w:hAnsiTheme="majorEastAsia" w:eastAsiaTheme="majorEastAsia"/>
        </w:rPr>
      </w:pPr>
      <w:r>
        <w:rPr>
          <w:rFonts w:hint="eastAsia" w:asciiTheme="majorEastAsia" w:hAnsiTheme="majorEastAsia" w:eastAsiaTheme="majorEastAsia"/>
          <w:b/>
        </w:rPr>
        <w:t>交通运行秩序整治力度有待提升</w:t>
      </w:r>
      <w:r>
        <w:rPr>
          <w:rFonts w:hint="eastAsia" w:asciiTheme="majorEastAsia" w:hAnsiTheme="majorEastAsia" w:eastAsiaTheme="majorEastAsia"/>
        </w:rPr>
        <w:t>。由于电子执法设备覆盖不足、种类较少，目前交通运行秩序整治仍需依靠人力，执法效率以及应急反应能力亟待提升。同时对待占道施工作业、绿化管养作业等长期缺乏精细化管理，扰乱正常道路交通运行。</w:t>
      </w:r>
    </w:p>
    <w:p>
      <w:pPr>
        <w:ind w:firstLine="562" w:firstLineChars="200"/>
        <w:rPr>
          <w:rFonts w:asciiTheme="majorEastAsia" w:hAnsiTheme="majorEastAsia" w:eastAsiaTheme="majorEastAsia"/>
        </w:rPr>
      </w:pPr>
      <w:r>
        <w:rPr>
          <w:rFonts w:hint="eastAsia" w:asciiTheme="majorEastAsia" w:hAnsiTheme="majorEastAsia" w:eastAsiaTheme="majorEastAsia"/>
          <w:b/>
        </w:rPr>
        <w:t>缺乏高层次人才。</w:t>
      </w:r>
      <w:r>
        <w:rPr>
          <w:rFonts w:hint="eastAsia" w:asciiTheme="majorEastAsia" w:hAnsiTheme="majorEastAsia" w:eastAsiaTheme="majorEastAsia"/>
        </w:rPr>
        <w:t>现有信息化专业技术人员整体水平不高，缺乏专业化、系统化教育，知识陈旧、业务不精的问题普遍存在。没有专门从事信息化建设的人员，缺乏顶层设计，造成资源浪费。</w:t>
      </w:r>
    </w:p>
    <w:p>
      <w:pPr>
        <w:ind w:firstLine="562" w:firstLineChars="200"/>
        <w:rPr>
          <w:rFonts w:asciiTheme="majorEastAsia" w:hAnsiTheme="majorEastAsia" w:eastAsiaTheme="majorEastAsia"/>
        </w:rPr>
      </w:pPr>
      <w:r>
        <w:rPr>
          <w:rFonts w:hint="eastAsia" w:asciiTheme="majorEastAsia" w:hAnsiTheme="majorEastAsia" w:eastAsiaTheme="majorEastAsia"/>
          <w:b/>
        </w:rPr>
        <w:t>资源共享不充分</w:t>
      </w:r>
      <w:r>
        <w:rPr>
          <w:rFonts w:hint="eastAsia" w:asciiTheme="majorEastAsia" w:hAnsiTheme="majorEastAsia" w:eastAsiaTheme="majorEastAsia"/>
        </w:rPr>
        <w:t>。各交通运输职能部门之间缺乏有效的沟通与协调，没有形成统一规划、统一政策、统一标准和统一规范，信息化建设只从本部门需求出发，造成重复建设和“部门化、分散化、孤岛化”的格局，严重阻碍了信息资源的有效整合与充分共享。</w:t>
      </w:r>
    </w:p>
    <w:p>
      <w:pPr>
        <w:ind w:firstLine="562" w:firstLineChars="200"/>
        <w:rPr>
          <w:rFonts w:asciiTheme="majorEastAsia" w:hAnsiTheme="majorEastAsia" w:eastAsiaTheme="majorEastAsia"/>
        </w:rPr>
      </w:pPr>
      <w:r>
        <w:rPr>
          <w:rFonts w:hint="eastAsia" w:asciiTheme="majorEastAsia" w:hAnsiTheme="majorEastAsia" w:eastAsiaTheme="majorEastAsia"/>
          <w:b/>
        </w:rPr>
        <w:t>应急设施落后。</w:t>
      </w:r>
      <w:r>
        <w:rPr>
          <w:rFonts w:hint="eastAsia" w:asciiTheme="majorEastAsia" w:hAnsiTheme="majorEastAsia" w:eastAsiaTheme="majorEastAsia"/>
        </w:rPr>
        <w:t>到目前为止，交通应急指挥中心还没有自己的场地，指挥中心大厅没有建设，因此许多信息化建设工作无法完成。</w:t>
      </w:r>
    </w:p>
    <w:p>
      <w:pPr>
        <w:ind w:firstLine="560" w:firstLineChars="200"/>
        <w:rPr>
          <w:rFonts w:asciiTheme="majorEastAsia" w:hAnsiTheme="majorEastAsia" w:eastAsiaTheme="majorEastAsia"/>
        </w:rPr>
        <w:sectPr>
          <w:footerReference r:id="rId11" w:type="default"/>
          <w:pgSz w:w="11906" w:h="16838"/>
          <w:pgMar w:top="1440" w:right="1800" w:bottom="1440" w:left="1800" w:header="851" w:footer="992" w:gutter="0"/>
          <w:cols w:space="425" w:num="1"/>
          <w:docGrid w:type="lines" w:linePitch="312" w:charSpace="0"/>
        </w:sectPr>
      </w:pPr>
    </w:p>
    <w:p>
      <w:pPr>
        <w:pStyle w:val="2"/>
        <w:rPr>
          <w:rFonts w:asciiTheme="majorEastAsia" w:hAnsiTheme="majorEastAsia" w:eastAsiaTheme="majorEastAsia"/>
        </w:rPr>
      </w:pPr>
      <w:bookmarkStart w:id="349" w:name="_Toc51756514"/>
      <w:bookmarkStart w:id="350" w:name="_Toc89102171"/>
      <w:r>
        <w:rPr>
          <w:rFonts w:asciiTheme="majorEastAsia" w:hAnsiTheme="majorEastAsia" w:eastAsiaTheme="majorEastAsia"/>
        </w:rPr>
        <w:t xml:space="preserve">第三章 </w:t>
      </w:r>
      <w:bookmarkStart w:id="351" w:name="_Hlk20754972"/>
      <w:r>
        <w:rPr>
          <w:rFonts w:asciiTheme="majorEastAsia" w:hAnsiTheme="majorEastAsia" w:eastAsiaTheme="majorEastAsia"/>
        </w:rPr>
        <w:t>“十四五”期交通运输发展</w:t>
      </w:r>
      <w:bookmarkEnd w:id="351"/>
      <w:r>
        <w:rPr>
          <w:rFonts w:asciiTheme="majorEastAsia" w:hAnsiTheme="majorEastAsia" w:eastAsiaTheme="majorEastAsia"/>
        </w:rPr>
        <w:t>面临的形势与机遇</w:t>
      </w:r>
      <w:bookmarkEnd w:id="349"/>
      <w:bookmarkEnd w:id="350"/>
    </w:p>
    <w:p>
      <w:pPr>
        <w:pStyle w:val="3"/>
        <w:rPr>
          <w:rFonts w:asciiTheme="majorEastAsia" w:hAnsiTheme="majorEastAsia" w:eastAsiaTheme="majorEastAsia"/>
        </w:rPr>
      </w:pPr>
      <w:bookmarkStart w:id="352" w:name="_Toc51756515"/>
      <w:bookmarkStart w:id="353" w:name="_Toc89102172"/>
      <w:r>
        <w:rPr>
          <w:rFonts w:asciiTheme="majorEastAsia" w:hAnsiTheme="majorEastAsia" w:eastAsiaTheme="majorEastAsia"/>
        </w:rPr>
        <w:t>3.1 “十四五”期经济社会发展形势与要求</w:t>
      </w:r>
      <w:bookmarkEnd w:id="352"/>
      <w:bookmarkEnd w:id="353"/>
    </w:p>
    <w:p>
      <w:pPr>
        <w:pStyle w:val="4"/>
        <w:rPr>
          <w:rFonts w:asciiTheme="majorEastAsia" w:hAnsiTheme="majorEastAsia" w:eastAsiaTheme="majorEastAsia"/>
        </w:rPr>
      </w:pPr>
      <w:bookmarkStart w:id="354" w:name="_Toc56264684"/>
      <w:bookmarkStart w:id="355" w:name="_Toc81406378"/>
      <w:bookmarkStart w:id="356" w:name="_Toc66367600"/>
      <w:bookmarkStart w:id="357" w:name="_Toc76993391"/>
      <w:bookmarkStart w:id="358" w:name="_Toc66367405"/>
      <w:bookmarkStart w:id="359" w:name="_Toc80715954"/>
      <w:bookmarkStart w:id="360" w:name="_Toc82161449"/>
      <w:bookmarkStart w:id="361" w:name="_Toc66367318"/>
      <w:bookmarkStart w:id="362" w:name="_Toc66179116"/>
      <w:bookmarkStart w:id="363" w:name="_Toc76994084"/>
      <w:bookmarkStart w:id="364" w:name="_Toc66367231"/>
      <w:bookmarkStart w:id="365" w:name="_Toc78374964"/>
      <w:bookmarkStart w:id="366" w:name="_Toc78550993"/>
      <w:bookmarkStart w:id="367" w:name="_Toc76994468"/>
      <w:bookmarkStart w:id="368" w:name="_Toc63600990"/>
      <w:bookmarkStart w:id="369" w:name="_Toc75518123"/>
      <w:bookmarkStart w:id="370" w:name="_Toc78556413"/>
      <w:bookmarkStart w:id="371" w:name="_Toc79923764"/>
      <w:bookmarkStart w:id="372" w:name="_Toc58318729"/>
      <w:bookmarkStart w:id="373" w:name="_Toc80103504"/>
      <w:bookmarkStart w:id="374" w:name="_Toc72513426"/>
      <w:bookmarkStart w:id="375" w:name="_Toc73625950"/>
      <w:bookmarkStart w:id="376" w:name="_Toc89102173"/>
      <w:bookmarkStart w:id="377" w:name="_Toc76490214"/>
      <w:bookmarkStart w:id="378" w:name="_Toc72777974"/>
      <w:bookmarkStart w:id="379" w:name="_Toc79048549"/>
      <w:bookmarkStart w:id="380" w:name="_Toc78813467"/>
      <w:r>
        <w:rPr>
          <w:rFonts w:asciiTheme="majorEastAsia" w:hAnsiTheme="majorEastAsia" w:eastAsiaTheme="majorEastAsia"/>
        </w:rPr>
        <w:t>3.1.1国际国内经济社会发展形势</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Start w:id="381" w:name="_Hlk35333261"/>
    </w:p>
    <w:bookmarkEnd w:id="381"/>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十四五”期是开启全面建设社会主义现代化国家新征程的第一个五年期，是我国由全面建成小康社会向基本实现社会主义现代化迈进的关键时期。当今世界面临百年未有之大变局，国际政治、经济格局正在发生深刻变化，经贸摩擦、地缘政治风险等不确定性因素增加，新一轮科技革命和产业变革方兴未艾，现有产业链条和分工格局可能会重塑，大数据、云计算、移动互联、智能制造、新材料和新能源等技术与交通运输深度融合，新模式、新业态、新产业不断涌现。</w:t>
      </w:r>
    </w:p>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“十四五”时期，面临百年未有之大变局深度调整、百年未遇之大疫情严重冲击、百年奋斗目标迈向新阶段三大背景，数字化、大国博弈、治理重构等力量推动经济社会加速变革，世界经济格局将深刻调整。</w:t>
      </w:r>
    </w:p>
    <w:p>
      <w:pPr>
        <w:ind w:firstLine="562" w:firstLineChars="200"/>
        <w:rPr>
          <w:rFonts w:asciiTheme="majorEastAsia" w:hAnsiTheme="majorEastAsia" w:eastAsiaTheme="majorEastAsia"/>
          <w:b/>
          <w:szCs w:val="28"/>
        </w:rPr>
      </w:pPr>
      <w:r>
        <w:rPr>
          <w:rFonts w:hint="eastAsia" w:asciiTheme="majorEastAsia" w:hAnsiTheme="majorEastAsia" w:eastAsiaTheme="majorEastAsia"/>
          <w:b/>
          <w:szCs w:val="28"/>
        </w:rPr>
        <w:t>1、国际</w:t>
      </w:r>
      <w:r>
        <w:rPr>
          <w:rFonts w:asciiTheme="majorEastAsia" w:hAnsiTheme="majorEastAsia" w:eastAsiaTheme="majorEastAsia"/>
          <w:b/>
          <w:szCs w:val="28"/>
        </w:rPr>
        <w:t>经济</w:t>
      </w:r>
      <w:r>
        <w:rPr>
          <w:rFonts w:hint="eastAsia" w:asciiTheme="majorEastAsia" w:hAnsiTheme="majorEastAsia" w:eastAsiaTheme="majorEastAsia"/>
          <w:b/>
          <w:szCs w:val="28"/>
        </w:rPr>
        <w:t>发展</w:t>
      </w:r>
      <w:r>
        <w:rPr>
          <w:rFonts w:asciiTheme="majorEastAsia" w:hAnsiTheme="majorEastAsia" w:eastAsiaTheme="majorEastAsia"/>
          <w:b/>
          <w:szCs w:val="28"/>
        </w:rPr>
        <w:t>形势</w:t>
      </w:r>
      <w:r>
        <w:rPr>
          <w:rFonts w:hint="eastAsia" w:asciiTheme="majorEastAsia" w:hAnsiTheme="majorEastAsia" w:eastAsiaTheme="majorEastAsia"/>
          <w:b/>
          <w:szCs w:val="28"/>
        </w:rPr>
        <w:t>分析</w:t>
      </w:r>
    </w:p>
    <w:p>
      <w:pPr>
        <w:ind w:firstLine="560" w:firstLineChars="200"/>
        <w:rPr>
          <w:rFonts w:asciiTheme="majorEastAsia" w:hAnsiTheme="majorEastAsia" w:eastAsiaTheme="majorEastAsia"/>
          <w:szCs w:val="28"/>
        </w:rPr>
      </w:pPr>
      <w:r>
        <w:rPr>
          <w:rFonts w:asciiTheme="majorEastAsia" w:hAnsiTheme="majorEastAsia" w:eastAsiaTheme="majorEastAsia"/>
          <w:szCs w:val="28"/>
        </w:rPr>
        <w:t>从国际环境看，近年来，全球经济增长逐步企稳，回升势头明显，并有望走出“后危机时代”，主要经济体和国际贸易呈现恢复性增长，但难以回升至金融危机之前的水平。与此同时，逆全球化思潮、贸易保护主义、民粹主义抬头，全球经济增长仍然面临诸多不可控、不确定性因素的影响与冲击。</w:t>
      </w:r>
    </w:p>
    <w:p>
      <w:pPr>
        <w:ind w:firstLine="562" w:firstLineChars="200"/>
        <w:rPr>
          <w:rFonts w:asciiTheme="majorEastAsia" w:hAnsiTheme="majorEastAsia" w:eastAsiaTheme="majorEastAsia"/>
          <w:szCs w:val="28"/>
        </w:rPr>
      </w:pPr>
      <w:r>
        <w:rPr>
          <w:rFonts w:hint="eastAsia" w:asciiTheme="majorEastAsia" w:hAnsiTheme="majorEastAsia" w:eastAsiaTheme="majorEastAsia"/>
          <w:b/>
          <w:szCs w:val="28"/>
        </w:rPr>
        <w:t>（1</w:t>
      </w:r>
      <w:r>
        <w:rPr>
          <w:rFonts w:asciiTheme="majorEastAsia" w:hAnsiTheme="majorEastAsia" w:eastAsiaTheme="majorEastAsia"/>
          <w:b/>
          <w:szCs w:val="28"/>
        </w:rPr>
        <w:t>）</w:t>
      </w:r>
      <w:r>
        <w:rPr>
          <w:rFonts w:hint="eastAsia" w:asciiTheme="majorEastAsia" w:hAnsiTheme="majorEastAsia" w:eastAsiaTheme="majorEastAsia"/>
          <w:b/>
          <w:szCs w:val="28"/>
        </w:rPr>
        <w:t>面临来自国际的挑战</w:t>
      </w:r>
      <w:r>
        <w:rPr>
          <w:rFonts w:asciiTheme="majorEastAsia" w:hAnsiTheme="majorEastAsia" w:eastAsiaTheme="majorEastAsia"/>
          <w:b/>
          <w:szCs w:val="28"/>
        </w:rPr>
        <w:t>主要有两方面</w:t>
      </w:r>
    </w:p>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一是未来全球经济增速下行，IMF预测未来5年全球经济平均增速将比上一个5年下滑超过1个百分点，可能拖累中国经济未来平均增速超过0.4个百分点。二是中国与以美国为首的西方国家在政治、经济和技术领域的矛盾还会持续，未来中国引进科技创新的环境还将有所恶化。</w:t>
      </w:r>
    </w:p>
    <w:p>
      <w:pPr>
        <w:ind w:firstLine="562" w:firstLineChars="200"/>
        <w:rPr>
          <w:rFonts w:asciiTheme="majorEastAsia" w:hAnsiTheme="majorEastAsia" w:eastAsiaTheme="majorEastAsia"/>
          <w:b/>
          <w:szCs w:val="28"/>
        </w:rPr>
      </w:pPr>
      <w:r>
        <w:rPr>
          <w:rFonts w:hint="eastAsia" w:asciiTheme="majorEastAsia" w:hAnsiTheme="majorEastAsia" w:eastAsiaTheme="majorEastAsia"/>
          <w:b/>
          <w:szCs w:val="28"/>
        </w:rPr>
        <w:t>（2</w:t>
      </w:r>
      <w:r>
        <w:rPr>
          <w:rFonts w:asciiTheme="majorEastAsia" w:hAnsiTheme="majorEastAsia" w:eastAsiaTheme="majorEastAsia"/>
          <w:b/>
          <w:szCs w:val="28"/>
        </w:rPr>
        <w:t>）</w:t>
      </w:r>
      <w:r>
        <w:rPr>
          <w:rFonts w:hint="eastAsia" w:asciiTheme="majorEastAsia" w:hAnsiTheme="majorEastAsia" w:eastAsiaTheme="majorEastAsia"/>
          <w:b/>
          <w:szCs w:val="28"/>
        </w:rPr>
        <w:t>“十四五”期国际</w:t>
      </w:r>
      <w:r>
        <w:rPr>
          <w:rFonts w:asciiTheme="majorEastAsia" w:hAnsiTheme="majorEastAsia" w:eastAsiaTheme="majorEastAsia"/>
          <w:b/>
          <w:szCs w:val="28"/>
        </w:rPr>
        <w:t>经济</w:t>
      </w:r>
      <w:r>
        <w:rPr>
          <w:rFonts w:hint="eastAsia" w:asciiTheme="majorEastAsia" w:hAnsiTheme="majorEastAsia" w:eastAsiaTheme="majorEastAsia"/>
          <w:b/>
          <w:szCs w:val="28"/>
        </w:rPr>
        <w:t>发展</w:t>
      </w:r>
      <w:r>
        <w:rPr>
          <w:rFonts w:asciiTheme="majorEastAsia" w:hAnsiTheme="majorEastAsia" w:eastAsiaTheme="majorEastAsia"/>
          <w:b/>
          <w:szCs w:val="28"/>
        </w:rPr>
        <w:t>特征</w:t>
      </w:r>
    </w:p>
    <w:p>
      <w:pPr>
        <w:ind w:firstLine="562" w:firstLineChars="200"/>
        <w:rPr>
          <w:rFonts w:asciiTheme="majorEastAsia" w:hAnsiTheme="majorEastAsia" w:eastAsiaTheme="majorEastAsia"/>
          <w:szCs w:val="28"/>
        </w:rPr>
      </w:pPr>
      <w:r>
        <w:rPr>
          <w:rFonts w:hint="eastAsia" w:asciiTheme="majorEastAsia" w:hAnsiTheme="majorEastAsia" w:eastAsiaTheme="majorEastAsia"/>
          <w:b/>
          <w:szCs w:val="28"/>
        </w:rPr>
        <w:t>一是</w:t>
      </w:r>
      <w:r>
        <w:rPr>
          <w:rFonts w:asciiTheme="majorEastAsia" w:hAnsiTheme="majorEastAsia" w:eastAsiaTheme="majorEastAsia"/>
          <w:b/>
          <w:szCs w:val="28"/>
        </w:rPr>
        <w:t>全</w:t>
      </w:r>
      <w:r>
        <w:rPr>
          <w:rFonts w:hint="eastAsia" w:asciiTheme="majorEastAsia" w:hAnsiTheme="majorEastAsia" w:eastAsiaTheme="majorEastAsia"/>
          <w:b/>
          <w:szCs w:val="28"/>
        </w:rPr>
        <w:t>球经济延续高债务低利率低增长态势</w:t>
      </w:r>
      <w:r>
        <w:rPr>
          <w:rFonts w:hint="eastAsia" w:asciiTheme="majorEastAsia" w:hAnsiTheme="majorEastAsia" w:eastAsiaTheme="majorEastAsia"/>
          <w:szCs w:val="28"/>
        </w:rPr>
        <w:t>。疫情短暂冲击可能演变成为持久性冲击。疫情后需求恢复相对滞后，全球产业链供应链的重新接续将会存在巨大摩擦成本，将对全球经济带来中长期扰动，可能使全球经济陷入中长期“L型”或者“W型”衰退。</w:t>
      </w:r>
    </w:p>
    <w:p>
      <w:pPr>
        <w:ind w:firstLine="562" w:firstLineChars="200"/>
        <w:rPr>
          <w:rFonts w:asciiTheme="majorEastAsia" w:hAnsiTheme="majorEastAsia" w:eastAsiaTheme="majorEastAsia"/>
          <w:szCs w:val="28"/>
        </w:rPr>
      </w:pPr>
      <w:r>
        <w:rPr>
          <w:rFonts w:hint="eastAsia" w:asciiTheme="majorEastAsia" w:hAnsiTheme="majorEastAsia" w:eastAsiaTheme="majorEastAsia"/>
          <w:b/>
          <w:szCs w:val="28"/>
        </w:rPr>
        <w:t>二是国际经济大循环调整加快。</w:t>
      </w:r>
      <w:r>
        <w:rPr>
          <w:rFonts w:hint="eastAsia" w:asciiTheme="majorEastAsia" w:hAnsiTheme="majorEastAsia" w:eastAsiaTheme="majorEastAsia"/>
          <w:szCs w:val="28"/>
        </w:rPr>
        <w:t>为应对疫情冲击，各主要经济体出台了一系列规模空前的刺激和救助政策，进一步推高全球债务水平， 各主要经济体很难摆脱“高债务、低利率、低增长”的模式，疫情期间的部分非常规政策可能成为未来一个时期的常规措施。预计2020年和2025年全球宏观杠杆率将分别达到255%和270%，债务和经济增长的缺口进一步拉大。此次新冠疫情引发了国际社会的不信任和相互指责，各主要经济体更加“内顾化”，全球化遭遇回头浪。全球多边治理机制进一步削弱，区域和双边机制更加重要，各国间处理国际公共事务将更加扁平化、分散化。疫情冲击下美国加速“退群”，世界朝向“零大国时代”发展演进，全球公共产品的供给缺口可能会进一步加大。</w:t>
      </w:r>
    </w:p>
    <w:p>
      <w:pPr>
        <w:ind w:firstLine="562" w:firstLineChars="200"/>
        <w:rPr>
          <w:rFonts w:asciiTheme="majorEastAsia" w:hAnsiTheme="majorEastAsia" w:eastAsiaTheme="majorEastAsia"/>
          <w:szCs w:val="28"/>
        </w:rPr>
      </w:pPr>
      <w:r>
        <w:rPr>
          <w:rFonts w:hint="eastAsia" w:asciiTheme="majorEastAsia" w:hAnsiTheme="majorEastAsia" w:eastAsiaTheme="majorEastAsia"/>
          <w:b/>
          <w:szCs w:val="28"/>
        </w:rPr>
        <w:t>三是全球治理向多极化方向加快重构。</w:t>
      </w:r>
      <w:r>
        <w:rPr>
          <w:rFonts w:hint="eastAsia" w:asciiTheme="majorEastAsia" w:hAnsiTheme="majorEastAsia" w:eastAsiaTheme="majorEastAsia"/>
          <w:szCs w:val="28"/>
        </w:rPr>
        <w:t>新冠疫情显现了市场在面对危机时采取有效的集体行动能力不足，进一步凸显了国家能力的重要作用。新自由主义市场原教旨主义共识进一步减退，国家作用重新得到强化。“大政府”时代可能回归，政府对市场直接干预将会更多，产业政策可能再次被重视。中美之间对抗将进一步加剧，并向多领域蔓延，各领域脱钩的风险大幅上升。</w:t>
      </w:r>
    </w:p>
    <w:p>
      <w:pPr>
        <w:ind w:firstLine="562" w:firstLineChars="200"/>
        <w:rPr>
          <w:rFonts w:asciiTheme="majorEastAsia" w:hAnsiTheme="majorEastAsia" w:eastAsiaTheme="majorEastAsia"/>
          <w:b/>
          <w:szCs w:val="28"/>
        </w:rPr>
      </w:pPr>
      <w:r>
        <w:rPr>
          <w:rFonts w:hint="eastAsia" w:asciiTheme="majorEastAsia" w:hAnsiTheme="majorEastAsia" w:eastAsiaTheme="majorEastAsia"/>
          <w:b/>
          <w:szCs w:val="28"/>
        </w:rPr>
        <w:t>2、国内经济社会</w:t>
      </w:r>
      <w:r>
        <w:rPr>
          <w:rFonts w:asciiTheme="majorEastAsia" w:hAnsiTheme="majorEastAsia" w:eastAsiaTheme="majorEastAsia"/>
          <w:b/>
          <w:szCs w:val="28"/>
        </w:rPr>
        <w:t>发展形势分析</w:t>
      </w:r>
    </w:p>
    <w:p>
      <w:pPr>
        <w:ind w:firstLine="560" w:firstLineChars="200"/>
        <w:rPr>
          <w:rFonts w:asciiTheme="majorEastAsia" w:hAnsiTheme="majorEastAsia" w:eastAsiaTheme="majorEastAsia"/>
          <w:szCs w:val="28"/>
        </w:rPr>
      </w:pPr>
      <w:r>
        <w:rPr>
          <w:rFonts w:asciiTheme="majorEastAsia" w:hAnsiTheme="majorEastAsia" w:eastAsiaTheme="majorEastAsia"/>
          <w:szCs w:val="28"/>
        </w:rPr>
        <w:t>从国内环境看，我国发展仍处于并将长期处于重要战略机遇期。经济发展进入新时代，新旧动能转换加快，消费取代投资成为主要增长动力，新业态新模式为经济注入新动力，企业经营从速度效益型转向质量效益型，经济发展步入新的历史方位，经济转向高质量发展的特征更趋明显</w:t>
      </w:r>
      <w:r>
        <w:rPr>
          <w:rFonts w:hint="eastAsia" w:asciiTheme="majorEastAsia" w:hAnsiTheme="majorEastAsia" w:eastAsiaTheme="majorEastAsia"/>
          <w:szCs w:val="28"/>
        </w:rPr>
        <w:t>。</w:t>
      </w:r>
    </w:p>
    <w:p>
      <w:pPr>
        <w:ind w:firstLine="562" w:firstLineChars="200"/>
        <w:rPr>
          <w:rFonts w:asciiTheme="majorEastAsia" w:hAnsiTheme="majorEastAsia" w:eastAsiaTheme="majorEastAsia"/>
          <w:szCs w:val="28"/>
        </w:rPr>
      </w:pPr>
      <w:r>
        <w:rPr>
          <w:rFonts w:hint="eastAsia" w:asciiTheme="majorEastAsia" w:hAnsiTheme="majorEastAsia" w:eastAsiaTheme="majorEastAsia"/>
          <w:b/>
          <w:szCs w:val="28"/>
        </w:rPr>
        <w:t>（1</w:t>
      </w:r>
      <w:r>
        <w:rPr>
          <w:rFonts w:asciiTheme="majorEastAsia" w:hAnsiTheme="majorEastAsia" w:eastAsiaTheme="majorEastAsia"/>
          <w:b/>
          <w:szCs w:val="28"/>
        </w:rPr>
        <w:t>）</w:t>
      </w:r>
      <w:r>
        <w:rPr>
          <w:rFonts w:hint="eastAsia" w:asciiTheme="majorEastAsia" w:hAnsiTheme="majorEastAsia" w:eastAsiaTheme="majorEastAsia"/>
          <w:b/>
          <w:szCs w:val="28"/>
        </w:rPr>
        <w:t>经济发展</w:t>
      </w:r>
      <w:r>
        <w:rPr>
          <w:rFonts w:asciiTheme="majorEastAsia" w:hAnsiTheme="majorEastAsia" w:eastAsiaTheme="majorEastAsia"/>
          <w:b/>
          <w:szCs w:val="28"/>
        </w:rPr>
        <w:t>来自</w:t>
      </w:r>
      <w:r>
        <w:rPr>
          <w:rFonts w:hint="eastAsia" w:asciiTheme="majorEastAsia" w:hAnsiTheme="majorEastAsia" w:eastAsiaTheme="majorEastAsia"/>
          <w:b/>
          <w:szCs w:val="28"/>
        </w:rPr>
        <w:t>国内</w:t>
      </w:r>
      <w:r>
        <w:rPr>
          <w:rFonts w:asciiTheme="majorEastAsia" w:hAnsiTheme="majorEastAsia" w:eastAsiaTheme="majorEastAsia"/>
          <w:b/>
          <w:szCs w:val="28"/>
        </w:rPr>
        <w:t>的</w:t>
      </w:r>
      <w:r>
        <w:rPr>
          <w:rFonts w:hint="eastAsia" w:asciiTheme="majorEastAsia" w:hAnsiTheme="majorEastAsia" w:eastAsiaTheme="majorEastAsia"/>
          <w:b/>
          <w:szCs w:val="28"/>
        </w:rPr>
        <w:t>主要挑战</w:t>
      </w:r>
    </w:p>
    <w:p>
      <w:pPr>
        <w:ind w:firstLine="562" w:firstLineChars="200"/>
        <w:rPr>
          <w:rFonts w:asciiTheme="majorEastAsia" w:hAnsiTheme="majorEastAsia" w:eastAsiaTheme="majorEastAsia"/>
          <w:szCs w:val="28"/>
        </w:rPr>
      </w:pPr>
      <w:r>
        <w:rPr>
          <w:rFonts w:hint="eastAsia" w:asciiTheme="majorEastAsia" w:hAnsiTheme="majorEastAsia" w:eastAsiaTheme="majorEastAsia"/>
          <w:b/>
          <w:szCs w:val="28"/>
        </w:rPr>
        <w:t>一是资源配置还不够高效。</w:t>
      </w:r>
      <w:r>
        <w:rPr>
          <w:rFonts w:hint="eastAsia" w:asciiTheme="majorEastAsia" w:hAnsiTheme="majorEastAsia" w:eastAsiaTheme="majorEastAsia"/>
          <w:szCs w:val="28"/>
        </w:rPr>
        <w:t>国有企业占据行业垄断地位，获得超额收益，在有些竞争性领域的经营绩效却相对较差，不仅不能形成国际竞争力，还造成资源浪费；金融资源流向实体经济的程度依然不足，金融体系内部的资金空转和套利不仅对经济增长贡献小，还存在潜在风险；中西部地区政府主导的投资活动存在浪费现象，存在潜在的政府债务风险等。</w:t>
      </w:r>
    </w:p>
    <w:p>
      <w:pPr>
        <w:ind w:firstLine="562" w:firstLineChars="200"/>
        <w:rPr>
          <w:rFonts w:asciiTheme="majorEastAsia" w:hAnsiTheme="majorEastAsia" w:eastAsiaTheme="majorEastAsia"/>
          <w:szCs w:val="28"/>
        </w:rPr>
      </w:pPr>
      <w:r>
        <w:rPr>
          <w:rFonts w:hint="eastAsia" w:asciiTheme="majorEastAsia" w:hAnsiTheme="majorEastAsia" w:eastAsiaTheme="majorEastAsia"/>
          <w:b/>
          <w:szCs w:val="28"/>
        </w:rPr>
        <w:t>二是要素流动还不够自由。</w:t>
      </w:r>
      <w:r>
        <w:rPr>
          <w:rFonts w:hint="eastAsia" w:asciiTheme="majorEastAsia" w:hAnsiTheme="majorEastAsia" w:eastAsiaTheme="majorEastAsia"/>
          <w:szCs w:val="28"/>
        </w:rPr>
        <w:t>在城市地区，大城市的人口控制、户籍制度的缺陷使得人口仍然不能完全自由流动，外来人口长期在城市工作，他们得不到应有的城市公共服务；在乡村地区，农业生产活动中的各种要素组合被锁定，形成了低水平的均衡，来自城市的企业和人员等活跃资本很难进入农村去发挥规模经济效应。</w:t>
      </w:r>
    </w:p>
    <w:p>
      <w:pPr>
        <w:ind w:firstLine="562" w:firstLineChars="200"/>
        <w:rPr>
          <w:rFonts w:asciiTheme="majorEastAsia" w:hAnsiTheme="majorEastAsia" w:eastAsiaTheme="majorEastAsia"/>
          <w:szCs w:val="28"/>
        </w:rPr>
      </w:pPr>
      <w:r>
        <w:rPr>
          <w:rFonts w:hint="eastAsia" w:asciiTheme="majorEastAsia" w:hAnsiTheme="majorEastAsia" w:eastAsiaTheme="majorEastAsia"/>
          <w:b/>
          <w:szCs w:val="28"/>
        </w:rPr>
        <w:t>三是经济结构还不够平衡。</w:t>
      </w:r>
      <w:r>
        <w:rPr>
          <w:rFonts w:hint="eastAsia" w:asciiTheme="majorEastAsia" w:hAnsiTheme="majorEastAsia" w:eastAsiaTheme="majorEastAsia"/>
          <w:szCs w:val="28"/>
        </w:rPr>
        <w:t>城乡之间，不同产业、不同人群之间，收入和财富分配不均，差距明显，这限制了消费增长，也不利于社会和谐稳定。</w:t>
      </w:r>
    </w:p>
    <w:p>
      <w:pPr>
        <w:ind w:firstLine="562" w:firstLineChars="200"/>
        <w:rPr>
          <w:rFonts w:asciiTheme="majorEastAsia" w:hAnsiTheme="majorEastAsia" w:eastAsiaTheme="majorEastAsia"/>
          <w:szCs w:val="28"/>
        </w:rPr>
      </w:pPr>
      <w:r>
        <w:rPr>
          <w:rFonts w:hint="eastAsia" w:asciiTheme="majorEastAsia" w:hAnsiTheme="majorEastAsia" w:eastAsiaTheme="majorEastAsia"/>
          <w:b/>
          <w:szCs w:val="28"/>
        </w:rPr>
        <w:t>四是我国面临大国战略竞争的严峻考验。</w:t>
      </w:r>
      <w:r>
        <w:rPr>
          <w:rFonts w:hint="eastAsia" w:asciiTheme="majorEastAsia" w:hAnsiTheme="majorEastAsia" w:eastAsiaTheme="majorEastAsia"/>
          <w:szCs w:val="28"/>
        </w:rPr>
        <w:t>随着各国特别是大国之间力量对比的不断变化，世界经济发展的不确定性也在逐步加大，突出表现在如下四个方面：全球性保护主义叠加劳动力要素供给下降和生产技术水平停滞，导致各国潜在增长率不断下降；国际贸易增速前景堪忧，国际直接投资稳定性严重不足；全球债务水平持续攀高，特别是新兴经济体金融市场风险日益集聚；各个经济体增长周期不同步，发达国家货币政策负外溢性凸显。</w:t>
      </w:r>
    </w:p>
    <w:p>
      <w:pPr>
        <w:ind w:firstLine="562" w:firstLineChars="200"/>
        <w:rPr>
          <w:rFonts w:asciiTheme="majorEastAsia" w:hAnsiTheme="majorEastAsia" w:eastAsiaTheme="majorEastAsia"/>
          <w:b/>
          <w:szCs w:val="28"/>
        </w:rPr>
      </w:pPr>
      <w:r>
        <w:rPr>
          <w:rFonts w:hint="eastAsia" w:asciiTheme="majorEastAsia" w:hAnsiTheme="majorEastAsia" w:eastAsiaTheme="majorEastAsia"/>
          <w:b/>
          <w:szCs w:val="28"/>
        </w:rPr>
        <w:t>（</w:t>
      </w:r>
      <w:r>
        <w:rPr>
          <w:rFonts w:asciiTheme="majorEastAsia" w:hAnsiTheme="majorEastAsia" w:eastAsiaTheme="majorEastAsia"/>
          <w:b/>
          <w:szCs w:val="28"/>
        </w:rPr>
        <w:t>2）</w:t>
      </w:r>
      <w:r>
        <w:rPr>
          <w:rFonts w:hint="eastAsia" w:asciiTheme="majorEastAsia" w:hAnsiTheme="majorEastAsia" w:eastAsiaTheme="majorEastAsia"/>
          <w:b/>
          <w:szCs w:val="28"/>
        </w:rPr>
        <w:t>“</w:t>
      </w:r>
      <w:r>
        <w:rPr>
          <w:rFonts w:asciiTheme="majorEastAsia" w:hAnsiTheme="majorEastAsia" w:eastAsiaTheme="majorEastAsia"/>
          <w:b/>
          <w:szCs w:val="28"/>
        </w:rPr>
        <w:t>十四五</w:t>
      </w:r>
      <w:r>
        <w:rPr>
          <w:rFonts w:hint="eastAsia" w:asciiTheme="majorEastAsia" w:hAnsiTheme="majorEastAsia" w:eastAsiaTheme="majorEastAsia"/>
          <w:b/>
          <w:szCs w:val="28"/>
        </w:rPr>
        <w:t>”</w:t>
      </w:r>
      <w:r>
        <w:rPr>
          <w:rFonts w:asciiTheme="majorEastAsia" w:hAnsiTheme="majorEastAsia" w:eastAsiaTheme="majorEastAsia"/>
          <w:b/>
          <w:szCs w:val="28"/>
        </w:rPr>
        <w:t>期</w:t>
      </w:r>
      <w:r>
        <w:rPr>
          <w:rFonts w:hint="eastAsia" w:asciiTheme="majorEastAsia" w:hAnsiTheme="majorEastAsia" w:eastAsiaTheme="majorEastAsia"/>
          <w:b/>
          <w:szCs w:val="28"/>
        </w:rPr>
        <w:t>国内经济发展主要趋势</w:t>
      </w:r>
    </w:p>
    <w:p>
      <w:pPr>
        <w:ind w:firstLine="562" w:firstLineChars="200"/>
        <w:rPr>
          <w:rFonts w:asciiTheme="majorEastAsia" w:hAnsiTheme="majorEastAsia" w:eastAsiaTheme="majorEastAsia"/>
          <w:szCs w:val="28"/>
        </w:rPr>
      </w:pPr>
      <w:r>
        <w:rPr>
          <w:rFonts w:hint="eastAsia" w:asciiTheme="majorEastAsia" w:hAnsiTheme="majorEastAsia" w:eastAsiaTheme="majorEastAsia"/>
          <w:b/>
          <w:szCs w:val="28"/>
        </w:rPr>
        <w:t>一是国内经济增长中枢下调但结构优化潜力巨大</w:t>
      </w:r>
      <w:r>
        <w:rPr>
          <w:rFonts w:hint="eastAsia" w:asciiTheme="majorEastAsia" w:hAnsiTheme="majorEastAsia" w:eastAsiaTheme="majorEastAsia"/>
          <w:szCs w:val="28"/>
        </w:rPr>
        <w:t>。“十四五”时期我国将大概率进入高收入经济体行列。据测算，到2024年底我国人均国民收入可超过14000美元，将迈过高收入门槛线。此次疫情将加速经济进入中速增长平台的进程，并带动增长中枢进一步下调，“十四五”时期年均增速将下降至5.0%～5.5%左右。我国经济总量将更加接近美国并逐步实现赶超，“十四五”末期中美经济总量的差距将显著缩小。经济结构将进一步优化，创新引领特征强化，消费需求仍将是带动经济的主要力量。我国不断累积的人力资本和不断提高的科技创新能力，将成为“十四五”时期经济发展的重要驱动力，创新引领经济发展的特征更趋明显。</w:t>
      </w:r>
    </w:p>
    <w:p>
      <w:pPr>
        <w:ind w:firstLine="562" w:firstLineChars="200"/>
        <w:rPr>
          <w:rFonts w:asciiTheme="majorEastAsia" w:hAnsiTheme="majorEastAsia" w:eastAsiaTheme="majorEastAsia"/>
          <w:szCs w:val="28"/>
        </w:rPr>
      </w:pPr>
      <w:r>
        <w:rPr>
          <w:rFonts w:hint="eastAsia" w:asciiTheme="majorEastAsia" w:hAnsiTheme="majorEastAsia" w:eastAsiaTheme="majorEastAsia"/>
          <w:b/>
          <w:szCs w:val="28"/>
        </w:rPr>
        <w:t>二是数字经济成为国际竞争主战场并引领产业变革。</w:t>
      </w:r>
      <w:r>
        <w:rPr>
          <w:rFonts w:hint="eastAsia" w:asciiTheme="majorEastAsia" w:hAnsiTheme="majorEastAsia" w:eastAsiaTheme="majorEastAsia"/>
          <w:szCs w:val="28"/>
        </w:rPr>
        <w:t>新一代信息技术改变了传统的生产生活方式，数字经济成为引领新时期经济发展的重要力量和国际竞争的新战场。“十四五”时期，预计二产比重将由2019年的39%下降至35%左右，三产比重将持续提升至60%左右。在数字化带动下，制造和服务加快融合，个性化、定制化、智能化生产将逐渐成为主体形态。</w:t>
      </w:r>
    </w:p>
    <w:p>
      <w:pPr>
        <w:ind w:firstLine="562" w:firstLineChars="200"/>
        <w:rPr>
          <w:rFonts w:asciiTheme="majorEastAsia" w:hAnsiTheme="majorEastAsia" w:eastAsiaTheme="majorEastAsia"/>
          <w:szCs w:val="28"/>
        </w:rPr>
      </w:pPr>
      <w:r>
        <w:rPr>
          <w:rFonts w:hint="eastAsia" w:asciiTheme="majorEastAsia" w:hAnsiTheme="majorEastAsia" w:eastAsiaTheme="majorEastAsia"/>
          <w:b/>
          <w:szCs w:val="28"/>
        </w:rPr>
        <w:t>三是要素集中化网络化趋势进一步加强。</w:t>
      </w:r>
      <w:r>
        <w:rPr>
          <w:rFonts w:hint="eastAsia" w:asciiTheme="majorEastAsia" w:hAnsiTheme="majorEastAsia" w:eastAsiaTheme="majorEastAsia"/>
          <w:szCs w:val="28"/>
        </w:rPr>
        <w:t>“十四五”期我国城镇化率年均增长1到2个百分点，“后城镇化时代”很可能提早到来，提高城市生活质量、社会保障水平和城市管理水平将成为城镇化面临的核心问题。要素进一步向城市群、都市圈和大城市集聚，区域集中化网络化程度进一步提升。以此次疫情为契机，“十四五”时期我国将突出以人民生命安全和身体健康为前提，综合考虑生产、生活、生态和安全的需要，推进一轮以人为核心的新型城市化治理改革，适度控制超大城市规模和密度，积极推进城市多中心、郊区化发展，建设网络型城市。</w:t>
      </w:r>
    </w:p>
    <w:p>
      <w:pPr>
        <w:ind w:firstLine="562" w:firstLineChars="200"/>
        <w:rPr>
          <w:rFonts w:asciiTheme="majorEastAsia" w:hAnsiTheme="majorEastAsia" w:eastAsiaTheme="majorEastAsia"/>
          <w:szCs w:val="28"/>
        </w:rPr>
      </w:pPr>
      <w:r>
        <w:rPr>
          <w:rFonts w:hint="eastAsia" w:asciiTheme="majorEastAsia" w:hAnsiTheme="majorEastAsia" w:eastAsiaTheme="majorEastAsia"/>
          <w:b/>
          <w:szCs w:val="28"/>
        </w:rPr>
        <w:t>四是绿色发展比较优势更加凸显。</w:t>
      </w:r>
      <w:r>
        <w:rPr>
          <w:rFonts w:hint="eastAsia" w:asciiTheme="majorEastAsia" w:hAnsiTheme="majorEastAsia" w:eastAsiaTheme="majorEastAsia"/>
          <w:szCs w:val="28"/>
        </w:rPr>
        <w:t>“十四五”时期，随着我国煤炭等能源消耗的下降，我国将总体处于污染物排放的“拐点”后阶段，主要大气污染物叠加总量的峰值极有可能在2020年左右出现，预计到2030年前碳排放总量将可以达峰。主要污染物排放达峰后生态环境压力减小，绿色发展实现从外部性负担到新竞争优势转变。生态环境将作为可创造财富的资源带来发展增值，绿色发展将成为提升经济发展效益和群众生活质量的重要力量。我国绿色发展将从“运动式”走向“制度化”，并将承担更多国际责任，不断创新国际绿色合作机制，推动全球绿色治理协作持续升级。</w:t>
      </w:r>
    </w:p>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交通运输作为国民经济和社会发展的基础性、先导性、战略性和服务性产业，对促进经济社会发展、优化产业布局、推动城镇建设和改善基本民生都具有重要的支撑和引领作用。在此背景下，迫切要求继续加快贵州交通运输发展，保持一定的发展速度和投资规模，充分发挥交通建设在促投资、稳增长、促进民生改善等方面的关键作用，维护经济长期向好的基本面。</w:t>
      </w:r>
    </w:p>
    <w:p>
      <w:pPr>
        <w:pStyle w:val="4"/>
        <w:rPr>
          <w:rFonts w:asciiTheme="majorEastAsia" w:hAnsiTheme="majorEastAsia" w:eastAsiaTheme="majorEastAsia"/>
        </w:rPr>
      </w:pPr>
      <w:bookmarkStart w:id="382" w:name="_Toc78813468"/>
      <w:bookmarkStart w:id="383" w:name="_Toc76994085"/>
      <w:bookmarkStart w:id="384" w:name="_Toc78550994"/>
      <w:bookmarkStart w:id="385" w:name="_Toc76490215"/>
      <w:bookmarkStart w:id="386" w:name="_Toc76994469"/>
      <w:bookmarkStart w:id="387" w:name="_Toc76993392"/>
      <w:bookmarkStart w:id="388" w:name="_Toc75518124"/>
      <w:bookmarkStart w:id="389" w:name="_Toc73625951"/>
      <w:bookmarkStart w:id="390" w:name="_Toc72777975"/>
      <w:bookmarkStart w:id="391" w:name="_Toc72513427"/>
      <w:bookmarkStart w:id="392" w:name="_Toc66367319"/>
      <w:bookmarkStart w:id="393" w:name="_Toc66367406"/>
      <w:bookmarkStart w:id="394" w:name="_Toc66367232"/>
      <w:bookmarkStart w:id="395" w:name="_Toc63600991"/>
      <w:bookmarkStart w:id="396" w:name="_Toc58318730"/>
      <w:bookmarkStart w:id="397" w:name="_Toc56264685"/>
      <w:bookmarkStart w:id="398" w:name="_Toc66367601"/>
      <w:bookmarkStart w:id="399" w:name="_Toc82161450"/>
      <w:bookmarkStart w:id="400" w:name="_Toc89102174"/>
      <w:bookmarkStart w:id="401" w:name="_Toc79923765"/>
      <w:bookmarkStart w:id="402" w:name="_Toc79048550"/>
      <w:bookmarkStart w:id="403" w:name="_Toc78556414"/>
      <w:bookmarkStart w:id="404" w:name="_Toc80103505"/>
      <w:bookmarkStart w:id="405" w:name="_Toc80715955"/>
      <w:bookmarkStart w:id="406" w:name="_Toc81406379"/>
      <w:bookmarkStart w:id="407" w:name="_Toc66179117"/>
      <w:bookmarkStart w:id="408" w:name="_Toc78374965"/>
      <w:r>
        <w:rPr>
          <w:rFonts w:asciiTheme="majorEastAsia" w:hAnsiTheme="majorEastAsia" w:eastAsiaTheme="majorEastAsia"/>
        </w:rPr>
        <w:t>3.1.2贵州省经济社会发展形势</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pPr>
        <w:spacing w:line="480" w:lineRule="auto"/>
        <w:ind w:firstLine="560" w:firstLineChars="200"/>
        <w:rPr>
          <w:rFonts w:asciiTheme="majorEastAsia" w:hAnsiTheme="majorEastAsia" w:eastAsiaTheme="majorEastAsia"/>
          <w:szCs w:val="22"/>
          <w:highlight w:val="yellow"/>
        </w:rPr>
      </w:pPr>
      <w:r>
        <w:rPr>
          <w:rFonts w:hint="eastAsia" w:asciiTheme="majorEastAsia" w:hAnsiTheme="majorEastAsia" w:eastAsiaTheme="majorEastAsia"/>
          <w:szCs w:val="22"/>
        </w:rPr>
        <w:t>进入“十四五”，贵州以高质量发展统揽全局，把在新时代西部大开发上闯新路、在乡村振兴上开新局、在实施数字经济战略上抢新机、在生态文明建设上出新绩作为主目标，把新型工业化、新型城镇化、农业现代化、旅游产业化作为主抓手，全力以赴围绕“四新”抓“四化”，奋力谱写新时代贵州高质量发展新篇章。“十四五”时期贵州省经济社会发展的总体要求，</w:t>
      </w:r>
      <w:r>
        <w:rPr>
          <w:rFonts w:asciiTheme="majorEastAsia" w:hAnsiTheme="majorEastAsia" w:eastAsiaTheme="majorEastAsia"/>
          <w:szCs w:val="22"/>
        </w:rPr>
        <w:t>主要体现在以下方面：</w:t>
      </w:r>
    </w:p>
    <w:p>
      <w:pPr>
        <w:spacing w:line="480" w:lineRule="auto"/>
        <w:ind w:firstLine="562" w:firstLineChars="200"/>
        <w:rPr>
          <w:rFonts w:asciiTheme="majorEastAsia" w:hAnsiTheme="majorEastAsia" w:eastAsiaTheme="majorEastAsia"/>
          <w:szCs w:val="22"/>
        </w:rPr>
      </w:pPr>
      <w:r>
        <w:rPr>
          <w:rFonts w:hint="eastAsia" w:asciiTheme="majorEastAsia" w:hAnsiTheme="majorEastAsia" w:eastAsiaTheme="majorEastAsia"/>
          <w:b/>
          <w:bCs/>
          <w:szCs w:val="22"/>
        </w:rPr>
        <w:t>一是大力推进新型工业化，构建高质量发展工业产业体系。</w:t>
      </w:r>
      <w:r>
        <w:rPr>
          <w:rFonts w:hint="eastAsia" w:asciiTheme="majorEastAsia" w:hAnsiTheme="majorEastAsia" w:eastAsiaTheme="majorEastAsia"/>
          <w:szCs w:val="22"/>
        </w:rPr>
        <w:t>坚持把发展经济着力点放在实体经济上，把加速推动新型工业化作为经济高质量发展的首要任务，大力实施产业发展提升行动，推动产业高端化、绿色化、集约化发展，奋力推进“工业大突破”。做大做强十大工业产业，着力优化产业布局，培育壮大企业主体，抓集群夯实产业基础，抓链条提升产业竞争力，抓培育构建产业发展新引擎，抓融合拓展产业发展空间，全面提升工业经济发展水平。</w:t>
      </w:r>
    </w:p>
    <w:p>
      <w:pPr>
        <w:spacing w:line="480" w:lineRule="auto"/>
        <w:ind w:firstLine="562" w:firstLineChars="200"/>
        <w:rPr>
          <w:rFonts w:asciiTheme="majorEastAsia" w:hAnsiTheme="majorEastAsia" w:eastAsiaTheme="majorEastAsia"/>
          <w:szCs w:val="22"/>
        </w:rPr>
      </w:pPr>
      <w:r>
        <w:rPr>
          <w:rFonts w:hint="eastAsia" w:asciiTheme="majorEastAsia" w:hAnsiTheme="majorEastAsia" w:eastAsiaTheme="majorEastAsia"/>
          <w:b/>
          <w:bCs/>
          <w:szCs w:val="22"/>
        </w:rPr>
        <w:t>二</w:t>
      </w:r>
      <w:r>
        <w:rPr>
          <w:rFonts w:asciiTheme="majorEastAsia" w:hAnsiTheme="majorEastAsia" w:eastAsiaTheme="majorEastAsia"/>
          <w:b/>
          <w:bCs/>
          <w:szCs w:val="22"/>
        </w:rPr>
        <w:t>是</w:t>
      </w:r>
      <w:r>
        <w:rPr>
          <w:rFonts w:hint="eastAsia" w:asciiTheme="majorEastAsia" w:hAnsiTheme="majorEastAsia" w:eastAsiaTheme="majorEastAsia"/>
          <w:b/>
          <w:bCs/>
          <w:szCs w:val="22"/>
        </w:rPr>
        <w:t>坚持扩大内需战略基点,高质量建设国家内陆开放型经济试验区。</w:t>
      </w:r>
      <w:r>
        <w:rPr>
          <w:rFonts w:hint="eastAsia" w:asciiTheme="majorEastAsia" w:hAnsiTheme="majorEastAsia" w:eastAsiaTheme="majorEastAsia"/>
          <w:szCs w:val="22"/>
        </w:rPr>
        <w:t>积极参与国内大循环和国内国际双循环,实施更大范围、更宽领域、更深层次对外开放,培育完善市场体系,提升供给体系对需求的适配性,在国家构建新发展格局中积极作为。</w:t>
      </w:r>
      <w:r>
        <w:rPr>
          <w:rFonts w:asciiTheme="majorEastAsia" w:hAnsiTheme="majorEastAsia" w:eastAsiaTheme="majorEastAsia"/>
          <w:szCs w:val="22"/>
        </w:rPr>
        <w:t>中央全力支持贵州建设以“投资贸易便利化试验区、现代产业发展试验区和开放式扶贫试验区”三位一体的内陆开放型经济试验区。未来，贵州建设内陆开放型经济试验区，进一步发挥区位优势，对外不断与长三角、</w:t>
      </w:r>
      <w:r>
        <w:rPr>
          <w:rFonts w:hint="eastAsia" w:asciiTheme="majorEastAsia" w:hAnsiTheme="majorEastAsia" w:eastAsiaTheme="majorEastAsia"/>
          <w:szCs w:val="22"/>
          <w:lang w:eastAsia="zh-CN"/>
        </w:rPr>
        <w:t>粤</w:t>
      </w:r>
      <w:r>
        <w:rPr>
          <w:rFonts w:asciiTheme="majorEastAsia" w:hAnsiTheme="majorEastAsia" w:eastAsiaTheme="majorEastAsia"/>
          <w:szCs w:val="22"/>
        </w:rPr>
        <w:t>港澳、北部湾等加强联系，省内将以完善口岸大通关体系为重点，进一步加大贵阳空港开放力度。</w:t>
      </w:r>
    </w:p>
    <w:p>
      <w:pPr>
        <w:spacing w:line="480" w:lineRule="auto"/>
        <w:ind w:firstLine="562" w:firstLineChars="200"/>
        <w:rPr>
          <w:rFonts w:asciiTheme="majorEastAsia" w:hAnsiTheme="majorEastAsia" w:eastAsiaTheme="majorEastAsia"/>
          <w:szCs w:val="22"/>
        </w:rPr>
      </w:pPr>
      <w:r>
        <w:rPr>
          <w:rFonts w:hint="eastAsia" w:asciiTheme="majorEastAsia" w:hAnsiTheme="majorEastAsia" w:eastAsiaTheme="majorEastAsia"/>
          <w:b/>
          <w:bCs/>
          <w:szCs w:val="22"/>
        </w:rPr>
        <w:t>三</w:t>
      </w:r>
      <w:r>
        <w:rPr>
          <w:rFonts w:asciiTheme="majorEastAsia" w:hAnsiTheme="majorEastAsia" w:eastAsiaTheme="majorEastAsia"/>
          <w:b/>
          <w:bCs/>
          <w:szCs w:val="22"/>
        </w:rPr>
        <w:t>是大力推动山地特色新型城镇化，</w:t>
      </w:r>
      <w:r>
        <w:rPr>
          <w:rFonts w:hint="eastAsia" w:asciiTheme="majorEastAsia" w:hAnsiTheme="majorEastAsia" w:eastAsiaTheme="majorEastAsia"/>
          <w:b/>
          <w:bCs/>
          <w:szCs w:val="22"/>
        </w:rPr>
        <w:t>构建高质量发展城镇体系。</w:t>
      </w:r>
      <w:r>
        <w:rPr>
          <w:rFonts w:asciiTheme="majorEastAsia" w:hAnsiTheme="majorEastAsia" w:eastAsiaTheme="majorEastAsia"/>
          <w:szCs w:val="22"/>
        </w:rPr>
        <w:t>按照《贵州省山地特色新型城镇化规划》《贵州省山地特色新型城镇化示范区建设实施方案》，贵州省新型城镇将走出一条集约型、多样化、可持续的山地新型城镇化道路。“十四五”期，贵州省将加快培育黔中城市群，</w:t>
      </w:r>
      <w:r>
        <w:rPr>
          <w:rFonts w:hint="eastAsia" w:asciiTheme="majorEastAsia" w:hAnsiTheme="majorEastAsia" w:eastAsiaTheme="majorEastAsia"/>
          <w:szCs w:val="22"/>
        </w:rPr>
        <w:t>坚持以人为核心的新型城镇化，实施“强省会”五年行动，</w:t>
      </w:r>
      <w:r>
        <w:rPr>
          <w:rFonts w:asciiTheme="majorEastAsia" w:hAnsiTheme="majorEastAsia" w:eastAsiaTheme="majorEastAsia"/>
          <w:szCs w:val="22"/>
        </w:rPr>
        <w:t>构建以贵阳中心城市（含贵安新区）为主核，以贵阳-安顺、遵义两大都市圈为引领，以六盘水、毕节、铜仁、凯里、都匀、兴义六大城镇组群为重点，以多个特色节点城市为支撑的“一核、一群、两圈、六组、多点”贵州山地特色城镇体系空间格局。</w:t>
      </w:r>
    </w:p>
    <w:p>
      <w:pPr>
        <w:spacing w:line="480" w:lineRule="auto"/>
        <w:ind w:firstLine="562" w:firstLineChars="200"/>
        <w:rPr>
          <w:rFonts w:asciiTheme="majorEastAsia" w:hAnsiTheme="majorEastAsia" w:eastAsiaTheme="majorEastAsia"/>
          <w:szCs w:val="22"/>
        </w:rPr>
      </w:pPr>
      <w:r>
        <w:rPr>
          <w:rFonts w:hint="eastAsia" w:asciiTheme="majorEastAsia" w:hAnsiTheme="majorEastAsia" w:eastAsiaTheme="majorEastAsia"/>
          <w:b/>
          <w:bCs/>
          <w:szCs w:val="22"/>
        </w:rPr>
        <w:t>四是大力推进农业现代化，构建高质量发展乡村建设体系。</w:t>
      </w:r>
      <w:r>
        <w:rPr>
          <w:rFonts w:hint="eastAsia" w:asciiTheme="majorEastAsia" w:hAnsiTheme="majorEastAsia" w:eastAsiaTheme="majorEastAsia"/>
          <w:szCs w:val="22"/>
        </w:rPr>
        <w:t>巩固拓展脱贫攻坚成果，落实“四个不摘”要求，保持现有帮扶政策、资金支持、帮扶力量总体稳定，健全防止返贫监测帮扶机制，强化易地扶贫搬迁后续扶持“五个体系”建设，持续发展壮大扶贫产业，增强脱贫地区内生发展能力。深入推进农村产业革命，大力发展现代山地特色高效农业，做大做强十二个重点农业特色优势产业，提高农业质量效益和竞争力，推动农村一二三产业融合发展。实施乡村建设行动，推进乡村全面振兴。提高粮食综合生产能力，坚决确保粮食安全。“十四五”期，乡村振兴战略实施取得积极突破，农村生态宜居初步实现，山地现代农业产业体系、生产体系、经营体系建设取得明显进展，农村产业结构持续优化，城乡融合发展体制机制初步建立，基本公共服务均等化水平进一步提高。</w:t>
      </w:r>
    </w:p>
    <w:p>
      <w:pPr>
        <w:spacing w:line="480" w:lineRule="auto"/>
        <w:ind w:firstLine="562" w:firstLineChars="200"/>
        <w:rPr>
          <w:rFonts w:asciiTheme="majorEastAsia" w:hAnsiTheme="majorEastAsia" w:eastAsiaTheme="majorEastAsia"/>
          <w:szCs w:val="22"/>
        </w:rPr>
      </w:pPr>
      <w:r>
        <w:rPr>
          <w:rFonts w:hint="eastAsia" w:asciiTheme="majorEastAsia" w:hAnsiTheme="majorEastAsia" w:eastAsiaTheme="majorEastAsia"/>
          <w:b/>
          <w:bCs/>
          <w:szCs w:val="22"/>
        </w:rPr>
        <w:t>五</w:t>
      </w:r>
      <w:r>
        <w:rPr>
          <w:rFonts w:asciiTheme="majorEastAsia" w:hAnsiTheme="majorEastAsia" w:eastAsiaTheme="majorEastAsia"/>
          <w:b/>
          <w:bCs/>
          <w:szCs w:val="22"/>
        </w:rPr>
        <w:t>是</w:t>
      </w:r>
      <w:r>
        <w:rPr>
          <w:rFonts w:hint="eastAsia" w:asciiTheme="majorEastAsia" w:hAnsiTheme="majorEastAsia" w:eastAsiaTheme="majorEastAsia"/>
          <w:b/>
          <w:bCs/>
          <w:szCs w:val="22"/>
        </w:rPr>
        <w:t>大力推进旅游产业化，构建高质量发展现代服务业体系</w:t>
      </w:r>
      <w:r>
        <w:rPr>
          <w:rFonts w:asciiTheme="majorEastAsia" w:hAnsiTheme="majorEastAsia" w:eastAsiaTheme="majorEastAsia"/>
          <w:b/>
          <w:bCs/>
          <w:szCs w:val="22"/>
        </w:rPr>
        <w:t>。</w:t>
      </w:r>
      <w:r>
        <w:rPr>
          <w:rFonts w:asciiTheme="majorEastAsia" w:hAnsiTheme="majorEastAsia" w:eastAsiaTheme="majorEastAsia"/>
          <w:szCs w:val="22"/>
        </w:rPr>
        <w:t>贵州作为我国第一批、西部首个国家级生态文明试验区，未来将全面形成符合主体功能定位的“两屏五带三区”生态安全战略格局，基本构筑起功能较为完善的“两江”上游区域性生态屏障，资源利用效率大幅提升，生态系统稳定性增强，绿色生活方式普遍推行。同时，遵循“全域旅游”理念，贵州将加快实施“旅游精品”战略，构建“快旅慢游”服务体系，提升旅游服务质量，打造以“多彩贵州风·山地公园省”为品牌的国际知名山地旅游目的地。</w:t>
      </w:r>
    </w:p>
    <w:p>
      <w:pPr>
        <w:spacing w:line="480" w:lineRule="auto"/>
        <w:ind w:firstLine="562" w:firstLineChars="200"/>
        <w:rPr>
          <w:rFonts w:asciiTheme="majorEastAsia" w:hAnsiTheme="majorEastAsia" w:eastAsiaTheme="majorEastAsia"/>
          <w:szCs w:val="22"/>
        </w:rPr>
      </w:pPr>
      <w:r>
        <w:rPr>
          <w:rFonts w:hint="eastAsia" w:asciiTheme="majorEastAsia" w:hAnsiTheme="majorEastAsia" w:eastAsiaTheme="majorEastAsia"/>
          <w:b/>
          <w:bCs/>
          <w:szCs w:val="22"/>
        </w:rPr>
        <w:t>六是坚持生态优先绿色发展,高质量建设国家生态文明试验区。</w:t>
      </w:r>
      <w:r>
        <w:rPr>
          <w:rFonts w:hint="eastAsia" w:asciiTheme="majorEastAsia" w:hAnsiTheme="majorEastAsia" w:eastAsiaTheme="majorEastAsia"/>
          <w:szCs w:val="22"/>
        </w:rPr>
        <w:t>牢固树立绿水青山就是金山银山的理念，贯彻推动长江经济带发展“共抓大保护、不搞大开发”要求，大力实施生态环境提升行动，构建国土空间开发保护新格局，加强生态环境治理和保护修复，深入打好污染防治攻坚战，大力发展绿色经济，全面构建生态文明制度体系，推进美丽贵州建设。</w:t>
      </w:r>
    </w:p>
    <w:p>
      <w:pPr>
        <w:spacing w:line="480" w:lineRule="auto"/>
        <w:ind w:firstLine="562" w:firstLineChars="200"/>
        <w:rPr>
          <w:rFonts w:asciiTheme="majorEastAsia" w:hAnsiTheme="majorEastAsia" w:eastAsiaTheme="majorEastAsia"/>
          <w:szCs w:val="22"/>
        </w:rPr>
      </w:pPr>
      <w:r>
        <w:rPr>
          <w:rFonts w:hint="eastAsia" w:asciiTheme="majorEastAsia" w:hAnsiTheme="majorEastAsia" w:eastAsiaTheme="majorEastAsia"/>
          <w:b/>
          <w:bCs/>
          <w:szCs w:val="22"/>
        </w:rPr>
        <w:t>七是加大现代化基础设施建设力度,增强高质量发展支撑能力。</w:t>
      </w:r>
      <w:r>
        <w:rPr>
          <w:rFonts w:hint="eastAsia" w:asciiTheme="majorEastAsia" w:hAnsiTheme="majorEastAsia" w:eastAsiaTheme="majorEastAsia"/>
          <w:szCs w:val="22"/>
        </w:rPr>
        <w:t>坚持基础设施先行,深入实施“六网会战”,统筹存量和增量、传统和新型基础设施发展,构建系统完备、高效实用、智能绿色、安全可靠的现代化基础设施体系。</w:t>
      </w:r>
    </w:p>
    <w:p>
      <w:pPr>
        <w:spacing w:line="480" w:lineRule="auto"/>
        <w:ind w:firstLine="562" w:firstLineChars="200"/>
        <w:rPr>
          <w:rFonts w:asciiTheme="majorEastAsia" w:hAnsiTheme="majorEastAsia" w:eastAsiaTheme="majorEastAsia"/>
          <w:szCs w:val="22"/>
        </w:rPr>
      </w:pPr>
      <w:r>
        <w:rPr>
          <w:rFonts w:hint="eastAsia" w:asciiTheme="majorEastAsia" w:hAnsiTheme="majorEastAsia" w:eastAsiaTheme="majorEastAsia"/>
          <w:b/>
          <w:bCs/>
          <w:szCs w:val="22"/>
        </w:rPr>
        <w:t>八是加大统筹发展和安全力度,营造高质量发展良好环境。</w:t>
      </w:r>
      <w:r>
        <w:rPr>
          <w:rFonts w:hint="eastAsia" w:asciiTheme="majorEastAsia" w:hAnsiTheme="majorEastAsia" w:eastAsiaTheme="majorEastAsia"/>
          <w:szCs w:val="22"/>
        </w:rPr>
        <w:t>坚持系统治理、依法治理、综合治理、源头治理，落实国家安全战略，着力防范化解重大风险，促进社会治理体系和工作格局更加成熟定型。建设更高水平的平安贵州，大力推进法治贵州建设，加快推进社会治理模式创新，创新完善科技支撑社会治理机制，建设社会治理智能化平台，构建基层社会治理信息综合、指挥调度、联动处置体系。</w:t>
      </w:r>
    </w:p>
    <w:p>
      <w:pPr>
        <w:spacing w:line="480" w:lineRule="auto"/>
        <w:ind w:firstLine="560" w:firstLineChars="200"/>
        <w:rPr>
          <w:rFonts w:asciiTheme="majorEastAsia" w:hAnsiTheme="majorEastAsia" w:eastAsiaTheme="majorEastAsia"/>
          <w:szCs w:val="22"/>
        </w:rPr>
      </w:pPr>
      <w:r>
        <w:rPr>
          <w:rFonts w:hint="eastAsia" w:asciiTheme="majorEastAsia" w:hAnsiTheme="majorEastAsia" w:eastAsiaTheme="majorEastAsia"/>
          <w:szCs w:val="22"/>
        </w:rPr>
        <w:t>“十四五”及未来更长一段时期，贵州将深度对接和融入“一带一路”、长江经济带、西部陆海新通道、粤港澳大湾区等国家战略，着力建设内陆开放型经济试验区，努力培育开放型经济，积极参与区域产业转移和分工协作，构建西部地区重要增长极。这就要求完善对外运输通道，构建互联互通交通网，强化与周边经济区的快速联系，巩固西南综合立体交通枢纽地位。</w:t>
      </w:r>
    </w:p>
    <w:p>
      <w:pPr>
        <w:pStyle w:val="4"/>
        <w:rPr>
          <w:rFonts w:asciiTheme="majorEastAsia" w:hAnsiTheme="majorEastAsia" w:eastAsiaTheme="majorEastAsia"/>
        </w:rPr>
      </w:pPr>
      <w:bookmarkStart w:id="409" w:name="_Toc66367602"/>
      <w:bookmarkStart w:id="410" w:name="_Toc58318731"/>
      <w:bookmarkStart w:id="411" w:name="_Toc72513428"/>
      <w:bookmarkStart w:id="412" w:name="_Toc66367233"/>
      <w:bookmarkStart w:id="413" w:name="_Toc56264686"/>
      <w:bookmarkStart w:id="414" w:name="_Toc66179118"/>
      <w:bookmarkStart w:id="415" w:name="_Toc66367320"/>
      <w:bookmarkStart w:id="416" w:name="_Toc63600992"/>
      <w:bookmarkStart w:id="417" w:name="_Toc66367407"/>
      <w:bookmarkStart w:id="418" w:name="_Toc72777976"/>
      <w:bookmarkStart w:id="419" w:name="_Toc73625952"/>
      <w:bookmarkStart w:id="420" w:name="_Toc75518125"/>
      <w:bookmarkStart w:id="421" w:name="_Toc76490216"/>
      <w:bookmarkStart w:id="422" w:name="_Toc76993393"/>
      <w:bookmarkStart w:id="423" w:name="_Toc76994086"/>
      <w:bookmarkStart w:id="424" w:name="_Toc76994470"/>
      <w:bookmarkStart w:id="425" w:name="_Toc78374966"/>
      <w:bookmarkStart w:id="426" w:name="_Toc78550995"/>
      <w:bookmarkStart w:id="427" w:name="_Toc78556415"/>
      <w:bookmarkStart w:id="428" w:name="_Toc78813469"/>
      <w:bookmarkStart w:id="429" w:name="_Toc79048551"/>
      <w:bookmarkStart w:id="430" w:name="_Toc79923766"/>
      <w:bookmarkStart w:id="431" w:name="_Toc80103506"/>
      <w:bookmarkStart w:id="432" w:name="_Toc80715956"/>
      <w:bookmarkStart w:id="433" w:name="_Toc81406380"/>
      <w:bookmarkStart w:id="434" w:name="_Toc82161451"/>
      <w:bookmarkStart w:id="435" w:name="_Toc89102175"/>
      <w:r>
        <w:rPr>
          <w:rFonts w:asciiTheme="majorEastAsia" w:hAnsiTheme="majorEastAsia" w:eastAsiaTheme="majorEastAsia"/>
        </w:rPr>
        <w:t>3.1.3</w:t>
      </w:r>
      <w:r>
        <w:rPr>
          <w:rFonts w:hint="eastAsia" w:asciiTheme="majorEastAsia" w:hAnsiTheme="majorEastAsia" w:eastAsiaTheme="majorEastAsia"/>
        </w:rPr>
        <w:t>六盘水市</w:t>
      </w:r>
      <w:r>
        <w:rPr>
          <w:rFonts w:asciiTheme="majorEastAsia" w:hAnsiTheme="majorEastAsia" w:eastAsiaTheme="majorEastAsia"/>
        </w:rPr>
        <w:t>经济社会发展形势</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pPr>
        <w:autoSpaceDE w:val="0"/>
        <w:autoSpaceDN w:val="0"/>
        <w:adjustRightInd w:val="0"/>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总的来看，当前大环境大形势对六盘水市发展总体有利，中央构建新发展格局、推进新时代西部大开发、支持老工业基地转型发展、推动共同富裕，为六盘水市高质量发展带来重大机遇。中央大力推进“一带一路”建设、长江经济带、成渝双城经济圈、</w:t>
      </w:r>
      <w:r>
        <w:rPr>
          <w:rFonts w:hint="eastAsia" w:asciiTheme="majorEastAsia" w:hAnsiTheme="majorEastAsia" w:eastAsiaTheme="majorEastAsia"/>
          <w:szCs w:val="28"/>
          <w:lang w:eastAsia="zh-CN"/>
        </w:rPr>
        <w:t>粤</w:t>
      </w:r>
      <w:r>
        <w:rPr>
          <w:rFonts w:hint="eastAsia" w:asciiTheme="majorEastAsia" w:hAnsiTheme="majorEastAsia" w:eastAsiaTheme="majorEastAsia"/>
          <w:szCs w:val="28"/>
        </w:rPr>
        <w:t>港澳大湾区等国家战略，为六盘水市高质量发展提供了有利条件。“十三五”以来，省委、省政府团结带领全省各族人民，守住发展和生态两条底线，坚决打好三大攻坚战，大力推进三大战略行动,建设三大国家级试验区,贵州发展态势越来越好、持续向好，为六盘水市高质量发展提供了坚实支撑。经过近几年的快速发展，六盘水市发展战略支撑显著增强、要素基础持续改善，具有良好的发展基础和潜力。</w:t>
      </w:r>
    </w:p>
    <w:p>
      <w:pPr>
        <w:autoSpaceDE w:val="0"/>
        <w:autoSpaceDN w:val="0"/>
        <w:adjustRightInd w:val="0"/>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同时，也要清醒看到，六盘水市发展不平衡不充分问题仍然突出，经济总量依然偏小，县域经济不强。产业转型升级任重道远，产业链条不健全。工业化、城镇化建设滞后，城乡发展差距较大。改革开放任务仍然艰巨，创新能力较弱，人才支撑不足。民生保障、生态环保、社会治理等还有短板弱项。六盘水市需要深刻认识错综复杂的国际环境带来的新矛盾新挑战，深刻认识新发展阶段新特征新要求，准确识变、科学应变、主动求变，善于在危机中育先机、于变局中开新局，更好地应对挑战、趋利避害，为全面建设社会主义现代化开好局、起好步。</w:t>
      </w:r>
    </w:p>
    <w:p>
      <w:pPr>
        <w:autoSpaceDE w:val="0"/>
        <w:autoSpaceDN w:val="0"/>
        <w:adjustRightInd w:val="0"/>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十四五”时期，六盘水市需要深入贯彻落实省委十二届九次全会精神，聚焦新使命、新目标、新要求，狠抓工作落实，全力推动高质量发展，为全省闯新路、开新局、抢新机、出新绩作出应有贡献。六盘水市经济社会发展的总体要求是：高举中国特色社会主义伟大旗帜，深入贯彻党的十九大和十九届二中、三中、四中、五中全会精神，省第十二次党代会及省委十二届历次全会精神,坚持以习近平新时代中国特色社会主义思想为指导，全面贯彻党的基本理论、基本路线、基本方略，深入贯彻落实习近平总书记对贵州工作重要指示精神,牢记嘱托、感恩奋进，统筹推进“五位一体”总体布局，协调推进“四个全面”战略布局,立足新发展阶段，贯彻新发展理念，融入新发展格局，坚持稳中求进工作总基调，以高质量发展统揽全局，牢牢守好发展和生态两条底线，深入实施乡村振兴、大数据、大生态三大战略行动，大力推进新型工业化、新型城镇化、农业现代化、旅游产业化，着力打造转型升级新样板、厚植区域竞争新优势、构筑对外开放新高地、提升市域治理新效能、开启幸福六盘水新生活，统筹发展和安全,奋力开创百姓富、生态美的多彩凉都新未来。</w:t>
      </w:r>
    </w:p>
    <w:p>
      <w:pPr>
        <w:autoSpaceDE w:val="0"/>
        <w:autoSpaceDN w:val="0"/>
        <w:adjustRightInd w:val="0"/>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十四五”时期六盘水市经济社会发展的发展目标：围绕市委七届十二次全会提出的“一二三四五”总体思路，以转型升级为主线、以提升区域竞争力为核心、以改革开放为动力、以安全发展为底线、以幸福六盘水为愿景，全面构建高质量发展的特色产业体系、现代城镇体系、动能支撑体系、安全生产体系、民生保障体系。到2025年，全市经济综合实力显著增强，人均地区生产总值达到全省平均水平， 产业转型升级、城乡融合发展、生态文明建设、改革开放创新、人民生活品质、市域社会治理等方面取得重大突破，实现“江南煤都”“中国凉都”“生态绿都”美誉度、知名度、竞争力大幅提升,初步建成城市繁荣、生态良好、社会和谐、生活富裕的幸福六盘水。</w:t>
      </w:r>
    </w:p>
    <w:p>
      <w:pPr>
        <w:autoSpaceDE w:val="0"/>
        <w:autoSpaceDN w:val="0"/>
        <w:adjustRightInd w:val="0"/>
        <w:ind w:firstLine="562" w:firstLineChars="200"/>
      </w:pPr>
      <w:r>
        <w:rPr>
          <w:b/>
          <w:bCs/>
        </w:rPr>
        <w:t>经济综合实力迈上新台阶。</w:t>
      </w:r>
      <w:r>
        <w:t>经济规模和效益持续提升</w:t>
      </w:r>
      <w:r>
        <w:rPr>
          <w:rFonts w:hint="eastAsia"/>
        </w:rPr>
        <w:t>，</w:t>
      </w:r>
      <w:r>
        <w:t>经济结构更加优化，现代化经济体系加快建设，全市地区生产总值达到2000亿元，年均增长8%左右，人均地区生产总值达到7万元左右。固定资产投资年均增长6%左右。社会消费品零售总额年均增长8%左右。现代山地特色高效农业加快发展，第一产业增加值达到210亿元，年均增长6%。工业经济发展质量明显提升，第二产业增加值达到910亿元，年均增长8%。以旅游为龙头的现代服务业创新发展步伐持续加快，第三产业增加值达到880亿元，年均增长8.5%。一般公共预算收入年均增长2%以上。全员劳动生产率达到10.3万元/人左右，经济持续健康发展，建设幸福六盘水的物质基础更加坚实。</w:t>
      </w:r>
    </w:p>
    <w:p>
      <w:pPr>
        <w:autoSpaceDE w:val="0"/>
        <w:autoSpaceDN w:val="0"/>
        <w:adjustRightInd w:val="0"/>
        <w:ind w:firstLine="562" w:firstLineChars="200"/>
      </w:pPr>
      <w:r>
        <w:rPr>
          <w:b/>
          <w:bCs/>
        </w:rPr>
        <w:t>产业转型升级取得新突破。</w:t>
      </w:r>
      <w:r>
        <w:t>产业基础高级化、产业链现代化水平明显提高。传统产业转型升级取得重大突破，七大新兴产业形成新的增长极，山地特色经济持续发展壮大，县区、园区首位产业集群化发展成效明显，基本形成高质量发展的富民型现代产业体系，工业地位进一步巩固提升，建成全国具有影响力的</w:t>
      </w:r>
      <w:r>
        <w:rPr>
          <w:rFonts w:hint="eastAsia"/>
        </w:rPr>
        <w:t>产业转型升级示范区，规模以上工业增加值增速年均增长8.5%左右，制造业增加值占比达到20%。</w:t>
      </w:r>
    </w:p>
    <w:p>
      <w:pPr>
        <w:autoSpaceDE w:val="0"/>
        <w:autoSpaceDN w:val="0"/>
        <w:adjustRightInd w:val="0"/>
        <w:ind w:firstLine="562" w:firstLineChars="200"/>
      </w:pPr>
      <w:r>
        <w:rPr>
          <w:rFonts w:hint="eastAsia"/>
          <w:b/>
          <w:bCs/>
        </w:rPr>
        <w:t>生态文明建设迈出新步伐。</w:t>
      </w:r>
      <w:r>
        <w:rPr>
          <w:rFonts w:hint="eastAsia"/>
        </w:rPr>
        <w:t>国土空间开发保护格局不断优化，生态环境质量改善成效得到巩固，森林覆盖率稳定在62% 以上，森林提质增效成效明显。矿山生态恢复治理率达到90%以上，石漠化和水土流失得到有效控制，珠江一长江“两江”上游绿色屏障更加牢固。县级以上城市空气质量优良天数比率达到95%以上。绿色生产生活方式加快形成，循环经济加快发展，能源资源配置更加合理、利用效率大幅提高，构建形成高质量绿色发展体系。</w:t>
      </w:r>
    </w:p>
    <w:p>
      <w:pPr>
        <w:autoSpaceDE w:val="0"/>
        <w:autoSpaceDN w:val="0"/>
        <w:adjustRightInd w:val="0"/>
        <w:ind w:firstLine="562" w:firstLineChars="200"/>
      </w:pPr>
      <w:r>
        <w:rPr>
          <w:rFonts w:hint="eastAsia"/>
          <w:b/>
          <w:bCs/>
        </w:rPr>
        <w:t>改革开放创新实现新突破。</w:t>
      </w:r>
      <w:r>
        <w:rPr>
          <w:rFonts w:hint="eastAsia"/>
        </w:rPr>
        <w:t>全面深化改革持续深入推进，要素市场化配置改革和产权制度改革取得重大进展，“三变”改革深入推进，降低企业用电、物流等生产经营成本成效明显，混合所有制经济发展加快，市场主体更加充满活力。深度融入国家区域协调发展战略，开放型经济发展水平不断提高，营商环境更加优化，开放型经济体系基本形成。创新能力显著提升，科技成果转化能力和自主创新能力明显增强，R&amp;D经费支出比重占GDP比重达到1.8%，综合科技进步指数达到70%，高技术企业数量达到180家。</w:t>
      </w:r>
    </w:p>
    <w:p>
      <w:pPr>
        <w:autoSpaceDE w:val="0"/>
        <w:autoSpaceDN w:val="0"/>
        <w:adjustRightInd w:val="0"/>
        <w:ind w:firstLine="562" w:firstLineChars="200"/>
      </w:pPr>
      <w:r>
        <w:rPr>
          <w:rFonts w:hint="eastAsia"/>
          <w:b/>
          <w:bCs/>
        </w:rPr>
        <w:t>社会文明程度得到新提高。</w:t>
      </w:r>
      <w:r>
        <w:rPr>
          <w:rFonts w:hint="eastAsia"/>
        </w:rPr>
        <w:t>习近平新时代中国特色社会主义思想深入人心，社会主义核心价值观融入社会发展各方面，人民思想道德素质、科学文化素质和身心健康素质明显提高。红色文化、“三线”文化、民族文化等不断传承发展，公共文化服务体系和文化产业体系更加健全,巩固提升全国文明城市创建成果成效明显，人民精神文化生活更加丰富，文化产业营业收入达到200亿元，县级以上文明单位占全市单位的50%以上。</w:t>
      </w:r>
    </w:p>
    <w:p>
      <w:pPr>
        <w:autoSpaceDE w:val="0"/>
        <w:autoSpaceDN w:val="0"/>
        <w:adjustRightInd w:val="0"/>
        <w:ind w:firstLine="562" w:firstLineChars="200"/>
      </w:pPr>
      <w:r>
        <w:rPr>
          <w:rFonts w:hint="eastAsia"/>
          <w:b/>
          <w:bCs/>
        </w:rPr>
        <w:t>人民生活品质达到新水平。</w:t>
      </w:r>
      <w:r>
        <w:rPr>
          <w:rFonts w:hint="eastAsia"/>
        </w:rPr>
        <w:t>实现更加充分更高质量就业，居民收入增长和经济增长基本同步，城乡居民收入差距进一步缩小，着力补齐优质教育、优质医疗等供给短板，基本公共服务均等化、优质化水平明显提高，多层次社会保障体系更加健全。全市城镇新增就业累计达到33万人以上，每千人口医疗卫生机构床位数达到9张，基本社会养老保险覆盖率达到96.5%，城乡居民医保覆盖率达到95%以上，脱贫攻坚成果巩固拓展，乡村振兴战略全面推进，不断实现人民对美好生活的向往。</w:t>
      </w:r>
    </w:p>
    <w:p>
      <w:pPr>
        <w:autoSpaceDE w:val="0"/>
        <w:autoSpaceDN w:val="0"/>
        <w:adjustRightInd w:val="0"/>
        <w:ind w:firstLine="562" w:firstLineChars="200"/>
      </w:pPr>
      <w:r>
        <w:rPr>
          <w:rFonts w:hint="eastAsia"/>
          <w:b/>
          <w:bCs/>
        </w:rPr>
        <w:t>市域社会治理开创新局面。</w:t>
      </w:r>
      <w:r>
        <w:rPr>
          <w:rFonts w:hint="eastAsia"/>
        </w:rPr>
        <w:t>系统治理、综合治理、依法治理、专项治理、源头治理协同推进，民主法治建设取得积极进展，社会公平正义进一步彰显，各类风险总体可控，突发公共事件应急能力显著增强，自然灾害防御水平明显提升，社会治理能力和治理水平进一步提高，亿元GDP生产安全事故死亡率控制在0.04人/亿元以内，人民群众安全感、满意度保持较高水平。展望二O三五年，我市将与全国全省同步基本实现社会主义现代化，建成经济更加发达、环境更加优美、文化更加繁荣、社会更加和谐、生活更加美好的幸福六盘水。经济实力、科技实力实现赶超跨越，人均地区生产总值达到全省平均水平。基本实现新型工业化、信息化、城镇化、农业农村现代化，建成现代化经济体系。国民素质和社会文明程度达到新高度，文化软实力显著增强。广泛形成绿色生产生活方式，生态文明建设达到更高水平。基本公共服务、基础设施通达程度、人民生活水平高于全省平均水平，基本实现治理体系和治理能力现代化。</w:t>
      </w:r>
    </w:p>
    <w:p>
      <w:pPr>
        <w:autoSpaceDE w:val="0"/>
        <w:autoSpaceDN w:val="0"/>
        <w:adjustRightInd w:val="0"/>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根据</w:t>
      </w:r>
      <w:r>
        <w:rPr>
          <w:rFonts w:asciiTheme="majorEastAsia" w:hAnsiTheme="majorEastAsia" w:eastAsiaTheme="majorEastAsia"/>
          <w:szCs w:val="28"/>
        </w:rPr>
        <w:t>《</w:t>
      </w:r>
      <w:r>
        <w:rPr>
          <w:rFonts w:hint="eastAsia" w:asciiTheme="majorEastAsia" w:hAnsiTheme="majorEastAsia" w:eastAsiaTheme="majorEastAsia"/>
          <w:szCs w:val="28"/>
        </w:rPr>
        <w:t>六盘水市</w:t>
      </w:r>
      <w:r>
        <w:rPr>
          <w:rFonts w:asciiTheme="majorEastAsia" w:hAnsiTheme="majorEastAsia" w:eastAsiaTheme="majorEastAsia"/>
          <w:szCs w:val="28"/>
        </w:rPr>
        <w:t>2020年国民经济和社会发展统计公报》</w:t>
      </w:r>
      <w:r>
        <w:rPr>
          <w:rFonts w:hint="eastAsia" w:asciiTheme="majorEastAsia" w:hAnsiTheme="majorEastAsia" w:eastAsiaTheme="majorEastAsia"/>
          <w:szCs w:val="28"/>
        </w:rPr>
        <w:t>，</w:t>
      </w:r>
      <w:r>
        <w:rPr>
          <w:rFonts w:asciiTheme="majorEastAsia" w:hAnsiTheme="majorEastAsia" w:eastAsiaTheme="majorEastAsia"/>
          <w:szCs w:val="28"/>
        </w:rPr>
        <w:t>2020年全市生产总值1339.62亿元，比上年增长4.5%。按产业分，第一产业增加值170.79亿元，增长5.9%；第二产业增加值599.99亿元，增长4.4%，其中工业增加值522.47亿元，增长3.6%；第三产业增加值568.84亿元，增长4.3%。</w:t>
      </w:r>
      <w:r>
        <w:rPr>
          <w:rFonts w:hint="eastAsia" w:asciiTheme="majorEastAsia" w:hAnsiTheme="majorEastAsia" w:eastAsiaTheme="majorEastAsia"/>
          <w:szCs w:val="28"/>
        </w:rPr>
        <w:t>三次产业结构为12.7:44.8:42.5，与上年相比，第一产业和第三产业占比上升0.5个和0.7个百分点，第二产业下降1.2个百分点</w:t>
      </w:r>
      <w:r>
        <w:rPr>
          <w:rFonts w:asciiTheme="majorEastAsia" w:hAnsiTheme="majorEastAsia" w:eastAsiaTheme="majorEastAsia"/>
          <w:szCs w:val="28"/>
        </w:rPr>
        <w:t>。</w:t>
      </w:r>
    </w:p>
    <w:p>
      <w:pPr>
        <w:pStyle w:val="4"/>
        <w:rPr>
          <w:rFonts w:asciiTheme="majorEastAsia" w:hAnsiTheme="majorEastAsia" w:eastAsiaTheme="majorEastAsia"/>
        </w:rPr>
      </w:pPr>
      <w:bookmarkStart w:id="436" w:name="_Toc56264687"/>
      <w:bookmarkStart w:id="437" w:name="_Toc66367321"/>
      <w:bookmarkStart w:id="438" w:name="_Toc66367603"/>
      <w:bookmarkStart w:id="439" w:name="_Toc66179119"/>
      <w:bookmarkStart w:id="440" w:name="_Toc63600993"/>
      <w:bookmarkStart w:id="441" w:name="_Toc66367408"/>
      <w:bookmarkStart w:id="442" w:name="_Toc58318732"/>
      <w:bookmarkStart w:id="443" w:name="_Toc72513429"/>
      <w:bookmarkStart w:id="444" w:name="_Toc66367234"/>
      <w:bookmarkStart w:id="445" w:name="_Toc72777977"/>
      <w:bookmarkStart w:id="446" w:name="_Toc73625953"/>
      <w:bookmarkStart w:id="447" w:name="_Toc75518126"/>
      <w:bookmarkStart w:id="448" w:name="_Toc76490217"/>
      <w:bookmarkStart w:id="449" w:name="_Toc76993394"/>
      <w:bookmarkStart w:id="450" w:name="_Toc76994087"/>
      <w:bookmarkStart w:id="451" w:name="_Toc76994471"/>
      <w:bookmarkStart w:id="452" w:name="_Toc78374967"/>
      <w:bookmarkStart w:id="453" w:name="_Toc78550996"/>
      <w:bookmarkStart w:id="454" w:name="_Toc78556416"/>
      <w:bookmarkStart w:id="455" w:name="_Toc78813470"/>
      <w:bookmarkStart w:id="456" w:name="_Toc79048552"/>
      <w:bookmarkStart w:id="457" w:name="_Toc79923767"/>
      <w:bookmarkStart w:id="458" w:name="_Toc80103507"/>
      <w:bookmarkStart w:id="459" w:name="_Toc80715957"/>
      <w:bookmarkStart w:id="460" w:name="_Toc81406381"/>
      <w:bookmarkStart w:id="461" w:name="_Toc82161452"/>
      <w:bookmarkStart w:id="462" w:name="_Toc89102176"/>
      <w:r>
        <w:rPr>
          <w:rFonts w:asciiTheme="majorEastAsia" w:hAnsiTheme="majorEastAsia" w:eastAsiaTheme="majorEastAsia"/>
        </w:rPr>
        <w:t>3.1.4经济社会发展对交通运输的要求</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pPr>
        <w:widowControl/>
        <w:tabs>
          <w:tab w:val="left" w:pos="735"/>
        </w:tabs>
        <w:snapToGrid w:val="0"/>
        <w:ind w:firstLine="584" w:firstLineChars="200"/>
        <w:rPr>
          <w:rFonts w:asciiTheme="majorEastAsia" w:hAnsiTheme="majorEastAsia" w:eastAsiaTheme="majorEastAsia"/>
        </w:rPr>
      </w:pPr>
      <w:r>
        <w:rPr>
          <w:rFonts w:asciiTheme="majorEastAsia" w:hAnsiTheme="majorEastAsia" w:eastAsiaTheme="majorEastAsia"/>
          <w:spacing w:val="6"/>
          <w:szCs w:val="28"/>
        </w:rPr>
        <w:t>结合国际国内、省及</w:t>
      </w:r>
      <w:r>
        <w:rPr>
          <w:rFonts w:hint="eastAsia" w:asciiTheme="majorEastAsia" w:hAnsiTheme="majorEastAsia" w:eastAsiaTheme="majorEastAsia"/>
          <w:spacing w:val="6"/>
          <w:szCs w:val="28"/>
        </w:rPr>
        <w:t>市</w:t>
      </w:r>
      <w:r>
        <w:rPr>
          <w:rFonts w:asciiTheme="majorEastAsia" w:hAnsiTheme="majorEastAsia" w:eastAsiaTheme="majorEastAsia"/>
          <w:spacing w:val="6"/>
          <w:szCs w:val="28"/>
        </w:rPr>
        <w:t>层面经济发展形势，</w:t>
      </w:r>
      <w:r>
        <w:rPr>
          <w:rFonts w:asciiTheme="majorEastAsia" w:hAnsiTheme="majorEastAsia" w:eastAsiaTheme="majorEastAsia"/>
        </w:rPr>
        <w:t>“十四五”期</w:t>
      </w:r>
      <w:r>
        <w:rPr>
          <w:rFonts w:hint="eastAsia" w:asciiTheme="majorEastAsia" w:hAnsiTheme="majorEastAsia" w:eastAsiaTheme="majorEastAsia"/>
        </w:rPr>
        <w:t>六盘水市</w:t>
      </w:r>
      <w:r>
        <w:rPr>
          <w:rFonts w:asciiTheme="majorEastAsia" w:hAnsiTheme="majorEastAsia" w:eastAsiaTheme="majorEastAsia"/>
        </w:rPr>
        <w:t>交通运输发展面临新要求、新期待</w:t>
      </w:r>
      <w:r>
        <w:rPr>
          <w:rFonts w:hint="eastAsia" w:asciiTheme="majorEastAsia" w:hAnsiTheme="majorEastAsia" w:eastAsiaTheme="majorEastAsia"/>
        </w:rPr>
        <w:t>。</w:t>
      </w:r>
    </w:p>
    <w:p>
      <w:pPr>
        <w:widowControl/>
        <w:tabs>
          <w:tab w:val="left" w:pos="735"/>
        </w:tabs>
        <w:snapToGrid w:val="0"/>
        <w:ind w:firstLine="562" w:firstLineChars="200"/>
        <w:rPr>
          <w:rFonts w:asciiTheme="majorEastAsia" w:hAnsiTheme="majorEastAsia" w:eastAsiaTheme="majorEastAsia"/>
          <w:b/>
        </w:rPr>
      </w:pPr>
      <w:r>
        <w:rPr>
          <w:rFonts w:hint="eastAsia" w:asciiTheme="majorEastAsia" w:hAnsiTheme="majorEastAsia" w:eastAsiaTheme="majorEastAsia"/>
          <w:b/>
        </w:rPr>
        <w:t>1．主动融入国家“一带一路”和“长江经济带”重大战略，巩固西南陆路交通枢纽地位，要求进一步完善公路对外运输通道。</w:t>
      </w:r>
    </w:p>
    <w:p>
      <w:pPr>
        <w:widowControl/>
        <w:tabs>
          <w:tab w:val="left" w:pos="735"/>
        </w:tabs>
        <w:snapToGrid w:val="0"/>
        <w:ind w:firstLine="560" w:firstLineChars="200"/>
        <w:rPr>
          <w:rFonts w:asciiTheme="majorEastAsia" w:hAnsiTheme="majorEastAsia" w:eastAsiaTheme="majorEastAsia"/>
        </w:rPr>
      </w:pPr>
      <w:r>
        <w:rPr>
          <w:rFonts w:hint="eastAsia" w:asciiTheme="majorEastAsia" w:hAnsiTheme="majorEastAsia" w:eastAsiaTheme="majorEastAsia"/>
        </w:rPr>
        <w:t>未来一段时期，贵州将抢抓国家重大战略实施的大好机遇，积极参与区域产业转移和分工协作，主动融入周边经济圈，努力构建西部地区重要的经济增长极。这就要求六盘水市公路交通建设发展要更加注重通道建设，进一步加强省际高速公路、干线公路建设，完善公路对外运输通道，形成与周边地区互联互通的骨架网络格局，促进经济要素在区域间的流动和聚集，支撑区域经济一体化发展。</w:t>
      </w:r>
    </w:p>
    <w:p>
      <w:pPr>
        <w:widowControl/>
        <w:tabs>
          <w:tab w:val="left" w:pos="735"/>
        </w:tabs>
        <w:snapToGrid w:val="0"/>
        <w:ind w:firstLine="562" w:firstLineChars="200"/>
        <w:rPr>
          <w:rFonts w:asciiTheme="majorEastAsia" w:hAnsiTheme="majorEastAsia" w:eastAsiaTheme="majorEastAsia"/>
          <w:b/>
        </w:rPr>
      </w:pPr>
      <w:r>
        <w:rPr>
          <w:rFonts w:hint="eastAsia" w:asciiTheme="majorEastAsia" w:hAnsiTheme="majorEastAsia" w:eastAsiaTheme="majorEastAsia"/>
          <w:b/>
        </w:rPr>
        <w:t>2．引领带动经济社会平稳较快发展，要求公路建设保持稳中向好的发展态势。</w:t>
      </w:r>
    </w:p>
    <w:p>
      <w:pPr>
        <w:widowControl/>
        <w:tabs>
          <w:tab w:val="left" w:pos="735"/>
        </w:tabs>
        <w:snapToGrid w:val="0"/>
        <w:ind w:firstLine="560" w:firstLineChars="200"/>
        <w:rPr>
          <w:rFonts w:asciiTheme="majorEastAsia" w:hAnsiTheme="majorEastAsia" w:eastAsiaTheme="majorEastAsia"/>
        </w:rPr>
      </w:pPr>
      <w:r>
        <w:rPr>
          <w:rFonts w:hint="eastAsia" w:asciiTheme="majorEastAsia" w:hAnsiTheme="majorEastAsia" w:eastAsiaTheme="majorEastAsia"/>
        </w:rPr>
        <w:t>“十三五”实现全面建成小康社会后，六盘水市经济发展中仍存在总量不高、发展不充分等问题。“十四五”期，仍然需要发挥交通基础设施建设对消化过剩产能、稳定经济增长、促进民生改善的重要作用。无论是确保经济稳定运行，还是适应交通需求升级，都要求交通运输保持一定的发展规模和速度。以高速公路为代表的大型交通基础设施建设仍需挖潜力、补短板、找空间，普通国省道、农村公路仍然有较大的发展需求。“十四五”期，六盘水市交通运输建设要全力巩固稳中向好的发展态势，引领带动地区经济社会持续平稳较快发展，为实现经济社会发展目标提供有力支撑。</w:t>
      </w:r>
    </w:p>
    <w:p>
      <w:pPr>
        <w:widowControl/>
        <w:tabs>
          <w:tab w:val="left" w:pos="735"/>
        </w:tabs>
        <w:snapToGrid w:val="0"/>
        <w:ind w:firstLine="562" w:firstLineChars="200"/>
        <w:rPr>
          <w:rFonts w:asciiTheme="majorEastAsia" w:hAnsiTheme="majorEastAsia" w:eastAsiaTheme="majorEastAsia"/>
          <w:b/>
        </w:rPr>
      </w:pPr>
      <w:r>
        <w:rPr>
          <w:rFonts w:hint="eastAsia" w:asciiTheme="majorEastAsia" w:hAnsiTheme="majorEastAsia" w:eastAsiaTheme="majorEastAsia"/>
          <w:b/>
        </w:rPr>
        <w:t>3．支撑构建现代产业体系、新型城镇化、全域旅游等战略，要求提升公路网络对重要经济节点的服务能力和品质。</w:t>
      </w:r>
    </w:p>
    <w:p>
      <w:pPr>
        <w:widowControl/>
        <w:tabs>
          <w:tab w:val="left" w:pos="735"/>
        </w:tabs>
        <w:snapToGrid w:val="0"/>
        <w:ind w:firstLine="560" w:firstLineChars="200"/>
        <w:rPr>
          <w:rFonts w:asciiTheme="majorEastAsia" w:hAnsiTheme="majorEastAsia" w:eastAsiaTheme="majorEastAsia"/>
        </w:rPr>
      </w:pPr>
      <w:r>
        <w:rPr>
          <w:rFonts w:hint="eastAsia" w:asciiTheme="majorEastAsia" w:hAnsiTheme="majorEastAsia" w:eastAsiaTheme="majorEastAsia"/>
        </w:rPr>
        <w:t>“十四五”期，六盘水市将加快实施构建现代产业体系，实现产业转型升级、推动山地特色新型城镇化发展、推动全域旅游发展等重要经济战略，由此带来人员和物资流动不断加快，运输需求进一步升级。公路作为综合交通运输体系最基础的运输方式，适应日益旺盛的交通运输需求，迫切需要进一步加强公路基础设施建设，尤其是完善普通公路网络，增强对重点产业园区、资源基地、示范城镇、旅游景区等经济节点的覆盖连接，着力提升公路技术等级、通行能力和服务水平，优化供给结构，扩大有效供给范围，提供高品质、高效率的公路运输服务。</w:t>
      </w:r>
    </w:p>
    <w:p>
      <w:pPr>
        <w:widowControl/>
        <w:tabs>
          <w:tab w:val="left" w:pos="735"/>
        </w:tabs>
        <w:snapToGrid w:val="0"/>
        <w:ind w:firstLine="562" w:firstLineChars="200"/>
        <w:rPr>
          <w:rFonts w:asciiTheme="majorEastAsia" w:hAnsiTheme="majorEastAsia" w:eastAsiaTheme="majorEastAsia"/>
          <w:b/>
        </w:rPr>
      </w:pPr>
      <w:r>
        <w:rPr>
          <w:rFonts w:asciiTheme="majorEastAsia" w:hAnsiTheme="majorEastAsia" w:eastAsiaTheme="majorEastAsia"/>
          <w:b/>
        </w:rPr>
        <w:t>4</w:t>
      </w:r>
      <w:r>
        <w:rPr>
          <w:rFonts w:hint="eastAsia" w:asciiTheme="majorEastAsia" w:hAnsiTheme="majorEastAsia" w:eastAsiaTheme="majorEastAsia"/>
          <w:b/>
        </w:rPr>
        <w:t>．推进交通强国建设、构建和完善综合交通运输体系，要求加强公路与其他运输方式、公路不同层次网络之间的衔接。</w:t>
      </w:r>
    </w:p>
    <w:p>
      <w:pPr>
        <w:widowControl/>
        <w:tabs>
          <w:tab w:val="left" w:pos="735"/>
        </w:tabs>
        <w:snapToGrid w:val="0"/>
        <w:ind w:firstLine="560" w:firstLineChars="200"/>
        <w:rPr>
          <w:rFonts w:asciiTheme="majorEastAsia" w:hAnsiTheme="majorEastAsia" w:eastAsiaTheme="majorEastAsia"/>
          <w:spacing w:val="6"/>
          <w:szCs w:val="28"/>
        </w:rPr>
      </w:pPr>
      <w:r>
        <w:rPr>
          <w:rFonts w:hint="eastAsia" w:asciiTheme="majorEastAsia" w:hAnsiTheme="majorEastAsia" w:eastAsiaTheme="majorEastAsia"/>
        </w:rPr>
        <w:t>“十四五”期，六盘水市交通运输发展进入到优化运输结构、强化衔接协调、提升一体化服务水平的新阶段，推进交通强国和综合立体交通网建设，迫切要求各种运输方式统筹规划、统筹建设、协调发展。公路交通沟通各种运输方式，在综合交通运输体系中发挥着重要的基础作用和衔接作用。新形势下，要进一步统筹公路交通与铁路、民航等其他运输方式及城市交通的协调发展，积极推进综合运输枢纽和集疏运网络建设，同时要注重高速公路、普通公路、农村公路等三大路网之间的衔接，加强普通公路与高速公路出入口的便捷转换，充分发挥各种运输方式的组合效率和整体优势。</w:t>
      </w:r>
    </w:p>
    <w:p>
      <w:pPr>
        <w:pStyle w:val="3"/>
        <w:rPr>
          <w:rFonts w:asciiTheme="majorEastAsia" w:hAnsiTheme="majorEastAsia" w:eastAsiaTheme="majorEastAsia"/>
        </w:rPr>
      </w:pPr>
      <w:bookmarkStart w:id="463" w:name="_Toc51756516"/>
      <w:bookmarkStart w:id="464" w:name="_Toc89102177"/>
      <w:r>
        <w:rPr>
          <w:rFonts w:asciiTheme="majorEastAsia" w:hAnsiTheme="majorEastAsia" w:eastAsiaTheme="majorEastAsia"/>
        </w:rPr>
        <w:t>3.2 “十四五”期交通运输发展机遇与挑战</w:t>
      </w:r>
      <w:bookmarkEnd w:id="463"/>
      <w:bookmarkEnd w:id="464"/>
    </w:p>
    <w:p>
      <w:pPr>
        <w:spacing w:line="480" w:lineRule="auto"/>
        <w:ind w:firstLine="560" w:firstLineChars="200"/>
        <w:rPr>
          <w:rFonts w:asciiTheme="majorEastAsia" w:hAnsiTheme="majorEastAsia" w:eastAsiaTheme="majorEastAsia"/>
          <w:szCs w:val="22"/>
        </w:rPr>
      </w:pPr>
      <w:r>
        <w:rPr>
          <w:rFonts w:hint="eastAsia" w:asciiTheme="majorEastAsia" w:hAnsiTheme="majorEastAsia" w:eastAsiaTheme="majorEastAsia"/>
          <w:szCs w:val="22"/>
        </w:rPr>
        <w:t>习近平总书记指出，当前和今后一个时期，我国发展仍然处于重要战略机遇期，但机遇和挑战都有新的发展变化。刚刚闭幕的全省“两会”审议通过的《政府工作报告》，是立足新发展阶段在“两个大局”交织中应变局开新局的冲锋号角，是贯彻新发展理念在“两个百年”交汇点开启贵州现代化建设新征程的政治宣言，是融入新发展格局在“两个五年”交接时描绘百姓富生态美多彩贵州新未来的壮美画卷。站在新的历史起点和交汇点上，必须胸怀“两个大局”，用全面、辩证、系统和长远的眼光看待当前形势，既要看到全省交通发展面临的有利条件，也要看到当前存在的诸多困难挑战，坚定信心、抢抓机遇，化危机育新机，迎变局开新局。</w:t>
      </w:r>
    </w:p>
    <w:p>
      <w:pPr>
        <w:pStyle w:val="4"/>
        <w:rPr>
          <w:rFonts w:asciiTheme="majorEastAsia" w:hAnsiTheme="majorEastAsia" w:eastAsiaTheme="majorEastAsia"/>
        </w:rPr>
      </w:pPr>
      <w:bookmarkStart w:id="465" w:name="_Toc66367236"/>
      <w:bookmarkStart w:id="466" w:name="_Toc58318734"/>
      <w:bookmarkStart w:id="467" w:name="_Toc56264689"/>
      <w:bookmarkStart w:id="468" w:name="_Toc63600995"/>
      <w:bookmarkStart w:id="469" w:name="_Toc66179121"/>
      <w:bookmarkStart w:id="470" w:name="_Toc66367323"/>
      <w:bookmarkStart w:id="471" w:name="_Toc66367410"/>
      <w:bookmarkStart w:id="472" w:name="_Toc66367605"/>
      <w:bookmarkStart w:id="473" w:name="_Toc72513431"/>
      <w:bookmarkStart w:id="474" w:name="_Toc72777979"/>
      <w:bookmarkStart w:id="475" w:name="_Toc73625955"/>
      <w:bookmarkStart w:id="476" w:name="_Toc75518128"/>
      <w:bookmarkStart w:id="477" w:name="_Toc76490219"/>
      <w:bookmarkStart w:id="478" w:name="_Toc76993396"/>
      <w:bookmarkStart w:id="479" w:name="_Toc76994089"/>
      <w:bookmarkStart w:id="480" w:name="_Toc76994473"/>
      <w:bookmarkStart w:id="481" w:name="_Toc78374969"/>
      <w:bookmarkStart w:id="482" w:name="_Toc78550998"/>
      <w:bookmarkStart w:id="483" w:name="_Toc78556418"/>
      <w:bookmarkStart w:id="484" w:name="_Toc78813472"/>
      <w:bookmarkStart w:id="485" w:name="_Toc79048554"/>
      <w:bookmarkStart w:id="486" w:name="_Toc79923769"/>
      <w:bookmarkStart w:id="487" w:name="_Toc80103509"/>
      <w:bookmarkStart w:id="488" w:name="_Toc80715959"/>
      <w:bookmarkStart w:id="489" w:name="_Toc81406383"/>
      <w:bookmarkStart w:id="490" w:name="_Toc82161454"/>
      <w:bookmarkStart w:id="491" w:name="_Toc89102178"/>
      <w:r>
        <w:rPr>
          <w:rFonts w:asciiTheme="majorEastAsia" w:hAnsiTheme="majorEastAsia" w:eastAsiaTheme="majorEastAsia"/>
        </w:rPr>
        <w:t>3.2.1发展机遇</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pPr>
        <w:ind w:left="562"/>
        <w:rPr>
          <w:rFonts w:asciiTheme="majorEastAsia" w:hAnsiTheme="majorEastAsia" w:eastAsiaTheme="majorEastAsia"/>
          <w:b/>
          <w:bCs/>
          <w:szCs w:val="28"/>
        </w:rPr>
      </w:pPr>
      <w:r>
        <w:rPr>
          <w:rFonts w:hint="eastAsia" w:asciiTheme="majorEastAsia" w:hAnsiTheme="majorEastAsia" w:eastAsiaTheme="majorEastAsia"/>
          <w:b/>
          <w:bCs/>
          <w:szCs w:val="28"/>
        </w:rPr>
        <w:t>1</w:t>
      </w:r>
      <w:r>
        <w:rPr>
          <w:rFonts w:asciiTheme="majorEastAsia" w:hAnsiTheme="majorEastAsia" w:eastAsiaTheme="majorEastAsia"/>
          <w:b/>
          <w:bCs/>
          <w:szCs w:val="28"/>
        </w:rPr>
        <w:t>.建设交通强国</w:t>
      </w:r>
      <w:r>
        <w:rPr>
          <w:rFonts w:hint="eastAsia" w:asciiTheme="majorEastAsia" w:hAnsiTheme="majorEastAsia" w:eastAsiaTheme="majorEastAsia"/>
          <w:b/>
          <w:bCs/>
          <w:szCs w:val="28"/>
        </w:rPr>
        <w:t>、综合立体交通网</w:t>
      </w:r>
      <w:r>
        <w:rPr>
          <w:rFonts w:asciiTheme="majorEastAsia" w:hAnsiTheme="majorEastAsia" w:eastAsiaTheme="majorEastAsia"/>
          <w:b/>
          <w:bCs/>
          <w:szCs w:val="28"/>
        </w:rPr>
        <w:t>带来了新契机</w:t>
      </w:r>
    </w:p>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国内国际新形势对加快建设交通强国、构建现代化高质量国家综合立体交通网提出了新的更高要求，必须更加突出创新的核心地位，注重交通运输创新驱动和智慧发展；更加突出统筹协调，注重各种运输方式融合发展和城乡区域交通运输协调发展；更加突出绿色发展，注重国土空间开发和生态环境保护；更加突出高水平对外开放，注重对外互联互通和国际供应链开放、安全、稳定；更加突出共享发展，注重建设人民满意交通，满足人民日益增长的美好生活需要。要着力推动交通运输更高质量、更有效率、更加公平、更可持续、更为安全的发展，发挥交通运输在国民经济扩大循环规模、提高循环效率、增强循环动能、降低循环成本、保障循环安全中的重要作用，为全面建设社会主义现代化国家提供有力支撑。</w:t>
      </w:r>
    </w:p>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交通运输是兴国之要，强国之基。党的十九大作出交通强国建设的重大战略部署，提出要建成“人民满意，保障有力，世界前列”的交通强国，实现各种运输方式相对独立发展向一体化融合发展的转变。</w:t>
      </w:r>
      <w:r>
        <w:rPr>
          <w:rFonts w:asciiTheme="majorEastAsia" w:hAnsiTheme="majorEastAsia" w:eastAsiaTheme="majorEastAsia"/>
          <w:szCs w:val="28"/>
        </w:rPr>
        <w:t>建设交通强国是以习近平同志为核心的党中央立足国情、着眼全局、面向未来作出的重大战略决策，凸显了交通运输在社会主义现代化强国建设和现代化经济体系中的战略地位。《交通强国建设纲要》强调要“强化西部地区补短板”“大力推进革命老区、民族地区、贫困地区交通发展”，为贵州交通基础设施发展带来了新机遇。站在新的历史起点上，交通运输部提出“把贵州作为交通强国建设的西部试点”。</w:t>
      </w:r>
      <w:r>
        <w:rPr>
          <w:rFonts w:hint="eastAsia" w:asciiTheme="majorEastAsia" w:hAnsiTheme="majorEastAsia" w:eastAsiaTheme="majorEastAsia"/>
          <w:szCs w:val="28"/>
        </w:rPr>
        <w:t>为落实好交通强国战略，省交通运输厅制定了诸如智慧交通建设、交通与旅游融合发展、“四好农村路”高质量发展等相应的试点项目，其中六盘水是“四好农村路”示范市试点，六盘水市应做好基础准备，把握试点项目建设机遇，为六盘水市交通运输建设作出贡献，为交通强国建设奠定基础。在重点区域、重要领域先行先试、率先突破提供新契机。</w:t>
      </w:r>
    </w:p>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为完善综合交通基础设施布局，扩展交通运输投资新空间，推动交通强国建设，有效支撑现代物流体系建设，《国家综合立体交通网规划纲要(2021—2050年)》(简称《规划纲要》)编制工作开始启动。2021年2月中共中央、国务院对外公布《规划纲要》，《纲要》提出到2035年，基本建成便捷顺畅、经济高效、绿色集约、智能先进、安全可靠的现代化高质量国家综合立体交通网。《纲要》以</w:t>
      </w:r>
      <w:r>
        <w:rPr>
          <w:rFonts w:hint="eastAsia" w:asciiTheme="majorEastAsia" w:hAnsiTheme="majorEastAsia" w:eastAsiaTheme="majorEastAsia"/>
          <w:b/>
          <w:szCs w:val="28"/>
        </w:rPr>
        <w:t>“综合立体”</w:t>
      </w:r>
      <w:r>
        <w:rPr>
          <w:rFonts w:hint="eastAsia" w:asciiTheme="majorEastAsia" w:hAnsiTheme="majorEastAsia" w:eastAsiaTheme="majorEastAsia"/>
          <w:szCs w:val="28"/>
        </w:rPr>
        <w:t>为核心，提出了“</w:t>
      </w:r>
      <w:r>
        <w:rPr>
          <w:rFonts w:hint="eastAsia" w:asciiTheme="majorEastAsia" w:hAnsiTheme="majorEastAsia" w:eastAsiaTheme="majorEastAsia"/>
          <w:b/>
          <w:szCs w:val="28"/>
        </w:rPr>
        <w:t>五突出、五注重</w:t>
      </w:r>
      <w:r>
        <w:rPr>
          <w:rFonts w:hint="eastAsia" w:asciiTheme="majorEastAsia" w:hAnsiTheme="majorEastAsia" w:eastAsiaTheme="majorEastAsia"/>
          <w:szCs w:val="28"/>
        </w:rPr>
        <w:t>”的战略要求，明确国家综合立体交通网络建设与发展要“更高质量、更有效率、更加公平、更可持续、更为安全”，充分发挥交通运输的“扩大循环规模、提高循环效率、增强循环动能、降低循环成本、保障循环安全”的重要作用。主要体现</w:t>
      </w:r>
      <w:r>
        <w:rPr>
          <w:rFonts w:hint="eastAsia" w:asciiTheme="majorEastAsia" w:hAnsiTheme="majorEastAsia" w:eastAsiaTheme="majorEastAsia"/>
          <w:b/>
          <w:szCs w:val="28"/>
        </w:rPr>
        <w:t>四个特点</w:t>
      </w:r>
      <w:r>
        <w:rPr>
          <w:rFonts w:hint="eastAsia" w:asciiTheme="majorEastAsia" w:hAnsiTheme="majorEastAsia" w:eastAsiaTheme="majorEastAsia"/>
          <w:szCs w:val="28"/>
        </w:rPr>
        <w:t>：</w:t>
      </w:r>
      <w:r>
        <w:rPr>
          <w:rFonts w:hint="eastAsia" w:asciiTheme="majorEastAsia" w:hAnsiTheme="majorEastAsia" w:eastAsiaTheme="majorEastAsia"/>
          <w:b/>
          <w:szCs w:val="28"/>
        </w:rPr>
        <w:t>第一</w:t>
      </w:r>
      <w:r>
        <w:rPr>
          <w:rFonts w:hint="eastAsia" w:asciiTheme="majorEastAsia" w:hAnsiTheme="majorEastAsia" w:eastAsiaTheme="majorEastAsia"/>
          <w:szCs w:val="28"/>
        </w:rPr>
        <w:t>，强调 “统筹融合协调”，坚持系统理念，加强前瞻性思考、全局性谋划、战略性布局，整体性推进的重要体现。</w:t>
      </w:r>
      <w:r>
        <w:rPr>
          <w:rFonts w:hint="eastAsia" w:asciiTheme="majorEastAsia" w:hAnsiTheme="majorEastAsia" w:eastAsiaTheme="majorEastAsia"/>
          <w:b/>
          <w:szCs w:val="28"/>
        </w:rPr>
        <w:t>第二</w:t>
      </w:r>
      <w:r>
        <w:rPr>
          <w:rFonts w:hint="eastAsia" w:asciiTheme="majorEastAsia" w:hAnsiTheme="majorEastAsia" w:eastAsiaTheme="majorEastAsia"/>
          <w:szCs w:val="28"/>
        </w:rPr>
        <w:t>，是“把推进综合交通所代表的基础设施要作为加快发展现代产业体系，推动经济体系优化转型升级的重要组成部分”的重要体现。国家综合立体交通网特别强调了交通与相关专业融合发展，包括邮政、物流、旅游、装备制造等相关产业。</w:t>
      </w:r>
      <w:r>
        <w:rPr>
          <w:rFonts w:hint="eastAsia" w:asciiTheme="majorEastAsia" w:hAnsiTheme="majorEastAsia" w:eastAsiaTheme="majorEastAsia"/>
          <w:b/>
          <w:szCs w:val="28"/>
        </w:rPr>
        <w:t>第三</w:t>
      </w:r>
      <w:r>
        <w:rPr>
          <w:rFonts w:hint="eastAsia" w:asciiTheme="majorEastAsia" w:hAnsiTheme="majorEastAsia" w:eastAsiaTheme="majorEastAsia"/>
          <w:szCs w:val="28"/>
        </w:rPr>
        <w:t>，这次规划不再是仅仅基于国家地图上的一个规划，规划纲要更强调面向全球的交通网，更好地支持开放和内外双循环的新格局。</w:t>
      </w:r>
      <w:r>
        <w:rPr>
          <w:rFonts w:hint="eastAsia" w:asciiTheme="majorEastAsia" w:hAnsiTheme="majorEastAsia" w:eastAsiaTheme="majorEastAsia"/>
          <w:b/>
          <w:szCs w:val="28"/>
        </w:rPr>
        <w:t>第四</w:t>
      </w:r>
      <w:r>
        <w:rPr>
          <w:rFonts w:hint="eastAsia" w:asciiTheme="majorEastAsia" w:hAnsiTheme="majorEastAsia" w:eastAsiaTheme="majorEastAsia"/>
          <w:szCs w:val="28"/>
        </w:rPr>
        <w:t>，体现了部门之间的协同，规划纲要特别强调了国家综合立体交通网要与国民经济发展规划、国土空间规划、区域规划以及流域规划等相关规划衔接好。</w:t>
      </w:r>
    </w:p>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纲要》适应了新发展阶段创新、绿色、协调、开放、共享五大新发展理念，立足于国家综合立体交通网络的建设与发展，超过了基础设施与线路建设的边界，进一步延伸到产业经济领域，全面丰富了高质量发展的内涵，为六盘水“十四五”交通运输发展提供了系统性与战略性的指导。六盘水需要按照部、省相关要求，促进各种运输方式融合发展及交通资源高效利用，以人民为中心，以服务质量为导向，构建安全、便捷、高效、绿色、经济的现代化综合交通体系。</w:t>
      </w:r>
    </w:p>
    <w:p>
      <w:pPr>
        <w:ind w:left="562"/>
        <w:rPr>
          <w:rFonts w:asciiTheme="majorEastAsia" w:hAnsiTheme="majorEastAsia" w:eastAsiaTheme="majorEastAsia"/>
          <w:b/>
          <w:bCs/>
          <w:szCs w:val="28"/>
        </w:rPr>
      </w:pPr>
      <w:r>
        <w:rPr>
          <w:rFonts w:hint="eastAsia" w:asciiTheme="majorEastAsia" w:hAnsiTheme="majorEastAsia" w:eastAsiaTheme="majorEastAsia"/>
          <w:b/>
          <w:bCs/>
          <w:szCs w:val="28"/>
        </w:rPr>
        <w:t>2</w:t>
      </w:r>
      <w:r>
        <w:rPr>
          <w:rFonts w:asciiTheme="majorEastAsia" w:hAnsiTheme="majorEastAsia" w:eastAsiaTheme="majorEastAsia"/>
          <w:b/>
          <w:bCs/>
          <w:szCs w:val="28"/>
        </w:rPr>
        <w:t>.国家重大战略叠加拓展了新空间</w:t>
      </w:r>
    </w:p>
    <w:p>
      <w:pPr>
        <w:ind w:firstLine="560" w:firstLineChars="200"/>
        <w:rPr>
          <w:rFonts w:asciiTheme="majorEastAsia" w:hAnsiTheme="majorEastAsia" w:eastAsiaTheme="majorEastAsia"/>
          <w:szCs w:val="28"/>
        </w:rPr>
      </w:pPr>
      <w:r>
        <w:rPr>
          <w:rFonts w:asciiTheme="majorEastAsia" w:hAnsiTheme="majorEastAsia" w:eastAsiaTheme="majorEastAsia"/>
          <w:szCs w:val="28"/>
        </w:rPr>
        <w:t>“十三五”以来，“一带一路”、新一轮西部大开发、乡村振兴等多个战略叠加，为</w:t>
      </w:r>
      <w:r>
        <w:rPr>
          <w:rFonts w:hint="eastAsia" w:asciiTheme="majorEastAsia" w:hAnsiTheme="majorEastAsia" w:eastAsiaTheme="majorEastAsia"/>
          <w:szCs w:val="28"/>
        </w:rPr>
        <w:t>六盘水市</w:t>
      </w:r>
      <w:r>
        <w:rPr>
          <w:rFonts w:asciiTheme="majorEastAsia" w:hAnsiTheme="majorEastAsia" w:eastAsiaTheme="majorEastAsia"/>
          <w:szCs w:val="28"/>
        </w:rPr>
        <w:t>交通发展带来了全新的发展机遇。“十四五”期，</w:t>
      </w:r>
      <w:r>
        <w:rPr>
          <w:rFonts w:hint="eastAsia" w:asciiTheme="majorEastAsia" w:hAnsiTheme="majorEastAsia" w:eastAsiaTheme="majorEastAsia"/>
          <w:szCs w:val="28"/>
        </w:rPr>
        <w:t>乡村振兴</w:t>
      </w:r>
      <w:r>
        <w:rPr>
          <w:rFonts w:asciiTheme="majorEastAsia" w:hAnsiTheme="majorEastAsia" w:eastAsiaTheme="majorEastAsia"/>
          <w:szCs w:val="28"/>
        </w:rPr>
        <w:t>、“一带一路”、新一轮西部大开发等重大区域发展战略将进一步深入实施，西部陆海新通道建设加快推进，</w:t>
      </w:r>
      <w:r>
        <w:rPr>
          <w:rFonts w:hint="eastAsia" w:asciiTheme="majorEastAsia" w:hAnsiTheme="majorEastAsia" w:eastAsiaTheme="majorEastAsia"/>
          <w:szCs w:val="28"/>
        </w:rPr>
        <w:t>六盘水市</w:t>
      </w:r>
      <w:r>
        <w:rPr>
          <w:rFonts w:asciiTheme="majorEastAsia" w:hAnsiTheme="majorEastAsia" w:eastAsiaTheme="majorEastAsia"/>
          <w:szCs w:val="28"/>
        </w:rPr>
        <w:t>交通运输迎来新一轮发展空间。</w:t>
      </w:r>
    </w:p>
    <w:p>
      <w:pPr>
        <w:ind w:firstLine="562" w:firstLineChars="200"/>
        <w:rPr>
          <w:rFonts w:asciiTheme="majorEastAsia" w:hAnsiTheme="majorEastAsia" w:eastAsiaTheme="majorEastAsia"/>
          <w:b/>
          <w:szCs w:val="28"/>
        </w:rPr>
      </w:pPr>
      <w:r>
        <w:rPr>
          <w:rFonts w:hint="eastAsia" w:asciiTheme="majorEastAsia" w:hAnsiTheme="majorEastAsia" w:eastAsiaTheme="majorEastAsia"/>
          <w:b/>
          <w:szCs w:val="28"/>
        </w:rPr>
        <w:t>（一）优先发展农业农村，全面推进乡村振兴。</w:t>
      </w:r>
    </w:p>
    <w:p>
      <w:pPr>
        <w:ind w:firstLine="560" w:firstLineChars="200"/>
        <w:rPr>
          <w:rFonts w:asciiTheme="majorEastAsia" w:hAnsiTheme="majorEastAsia" w:eastAsiaTheme="majorEastAsia"/>
          <w:szCs w:val="28"/>
        </w:rPr>
      </w:pPr>
      <w:bookmarkStart w:id="492" w:name="_Hlk65488259"/>
      <w:r>
        <w:rPr>
          <w:rFonts w:hint="eastAsia" w:asciiTheme="majorEastAsia" w:hAnsiTheme="majorEastAsia" w:eastAsiaTheme="majorEastAsia"/>
          <w:szCs w:val="28"/>
        </w:rPr>
        <w:t>2018年是实施乡村振兴战略的开局之年。党的十九大报告首次提出实施乡村振兴战略,制定了《中共中央国务院关于实施乡村振兴战略的意见》，提出了“产业兴旺、生态宜居、乡风文明、治理有效、生活富裕”的总要求。2020年10月26日至29日，党的十九届五中全会召开，大会审议通过《中共中央关于制定国民经济和社会发展第十四个五年规划和二〇三五年远景目标的建议》，建议要求对新发展阶段优先发展农业农村、全面推进乡村振兴作出总体部署，为做好当前和今后一个时期“三农”工作指明了方向。为了巩固拓展脱贫攻坚成果，奋力迈向乡村振兴，2021年2月21日，党中央制定了《中共中央国务院关于全面推进乡村振兴加快农业农村现代化的意见》（简称《意见》），《意见》指出，要实现巩固拓展脱贫攻坚成果同乡村振兴有效衔接；持续巩固拓展脱贫攻坚成果；持续推进脱贫地区乡村振兴；持续做好有组织劳务输出工作。</w:t>
      </w:r>
    </w:p>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交通建设是乡村振兴的重要前提，以交通运输先行发展助力乡村振兴。完善交通网路建设，才能加快实现农业强、农村美、农民富的喜人图景，助力提升全面小康社会的成色和社会主义现代化的质量。</w:t>
      </w:r>
      <w:r>
        <w:rPr>
          <w:rFonts w:hint="eastAsia" w:asciiTheme="majorEastAsia" w:hAnsiTheme="majorEastAsia" w:eastAsiaTheme="majorEastAsia"/>
          <w:b/>
          <w:szCs w:val="28"/>
        </w:rPr>
        <w:t>交通建设繁荣农村经济。</w:t>
      </w:r>
      <w:r>
        <w:rPr>
          <w:rFonts w:hint="eastAsia" w:asciiTheme="majorEastAsia" w:hAnsiTheme="majorEastAsia" w:eastAsiaTheme="majorEastAsia"/>
          <w:szCs w:val="28"/>
        </w:rPr>
        <w:t>“公路通，百业兴”，交通是经济发展的大动脉，农村要发展、要繁荣，完善的路网设施建设必不可少。</w:t>
      </w:r>
      <w:r>
        <w:rPr>
          <w:rFonts w:hint="eastAsia" w:asciiTheme="majorEastAsia" w:hAnsiTheme="majorEastAsia" w:eastAsiaTheme="majorEastAsia"/>
          <w:b/>
          <w:szCs w:val="28"/>
        </w:rPr>
        <w:t>交通建设助力农业现代化</w:t>
      </w:r>
      <w:r>
        <w:rPr>
          <w:rFonts w:hint="eastAsia" w:asciiTheme="majorEastAsia" w:hAnsiTheme="majorEastAsia" w:eastAsiaTheme="majorEastAsia"/>
          <w:szCs w:val="28"/>
        </w:rPr>
        <w:t>。完善农村地区外联内通的各条主次干道，不仅能为农村地区带去新型的农业机械设备、带去企业和资金，提高农业生产效率，也能带去新的农业发展模式和理念。</w:t>
      </w:r>
      <w:r>
        <w:rPr>
          <w:rFonts w:hint="eastAsia" w:asciiTheme="majorEastAsia" w:hAnsiTheme="majorEastAsia" w:eastAsiaTheme="majorEastAsia"/>
          <w:b/>
          <w:szCs w:val="28"/>
        </w:rPr>
        <w:t>交通建设提升农民幸福感。</w:t>
      </w:r>
      <w:r>
        <w:rPr>
          <w:rFonts w:hint="eastAsia" w:asciiTheme="majorEastAsia" w:hAnsiTheme="majorEastAsia" w:eastAsiaTheme="majorEastAsia"/>
          <w:szCs w:val="28"/>
        </w:rPr>
        <w:t>对外联系的加强，使原本信息闭塞的乡村地区老百姓有更多的机会放眼看世界，拓宽视野，提升文明素质，树立文明新风。</w:t>
      </w:r>
    </w:p>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 xml:space="preserve"> “十四五”期，将是巩固拓展脱贫攻坚成果，同乡村振兴的衔接阶段。在这期间，六盘水市交通运输行业将继续加大对全市经济薄弱地区的交通支持力度，着力“完善大动脉、畅通微循环”，以交通运输的先行发展、高质量发展助力经济薄弱地区在乡村振兴战略中加速发力，将后发优势转化为竞争优势、发展优势，助力农业农村现代化。同时继续推进“四好农村路”建设，进一步提高农村公路畅达深度，推进旅游景区、特色小镇、农业产业园区等乡村经济节点的县乡公路提质改造，加强城乡公路互联互通，推进城乡客运服务一体化，为交通发展带来新潜力，助推乡村振兴，实现产业兴旺，农村繁荣，农民富裕。</w:t>
      </w:r>
    </w:p>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在“十四五”乃至今后较长一段时期内，要在目前基本形成乡村振兴制度框架和政策体系的基础上，全面推进实施乡村振兴战略。实施乡村振兴战略，必须抓住机遇，迎接挑战，发挥优势，顺势而为，努力开创农业农村发展新局面，推动农业全面升级、农村全面进步、农民全面发展，谱写新时代乡村全面振兴新篇章。</w:t>
      </w:r>
    </w:p>
    <w:bookmarkEnd w:id="492"/>
    <w:p>
      <w:pPr>
        <w:ind w:firstLine="562" w:firstLineChars="200"/>
        <w:rPr>
          <w:rFonts w:asciiTheme="majorEastAsia" w:hAnsiTheme="majorEastAsia" w:eastAsiaTheme="majorEastAsia"/>
          <w:b/>
          <w:szCs w:val="28"/>
        </w:rPr>
      </w:pPr>
      <w:r>
        <w:rPr>
          <w:rFonts w:hint="eastAsia" w:asciiTheme="majorEastAsia" w:hAnsiTheme="majorEastAsia" w:eastAsiaTheme="majorEastAsia"/>
          <w:b/>
          <w:szCs w:val="28"/>
        </w:rPr>
        <w:t>（二）</w:t>
      </w:r>
      <w:bookmarkStart w:id="493" w:name="_Hlk65489683"/>
      <w:r>
        <w:rPr>
          <w:rFonts w:hint="eastAsia" w:asciiTheme="majorEastAsia" w:hAnsiTheme="majorEastAsia" w:eastAsiaTheme="majorEastAsia"/>
          <w:b/>
          <w:szCs w:val="28"/>
        </w:rPr>
        <w:t>西部陆海新通道加快建设，为交通发展拓展新空间。</w:t>
      </w:r>
    </w:p>
    <w:bookmarkEnd w:id="493"/>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按照高质量高标准高水平共建“一带一路”的要求，我国与东南亚等地区经贸合作更加紧密，西部地区应进一步发挥毗邻北部湾港的区位优势，提升与东南亚等地区的互联互通水平，进一步扩大对外开放。加快西部陆海新通道建设，对于充分发挥西部地区连接“一带”和“一路”的纽带作用，深化陆海双向开放，强化措施推进西部大开发形成新格局，推动区域经济高质量发展，具有重大现实意义和深远历史意义。西部陆海新通道是推进西部大开发形成新格局的战略通道，连接“一带”和“一路”的陆海联动通道，支撑西部地区参与国际经济合作的陆海贸易通道，促进交通物流经济深度融合的综合运输通道。</w:t>
      </w:r>
    </w:p>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贵州是西部陆海新通道的必经地，三条主通道都经过贵州省。</w:t>
      </w:r>
      <w:r>
        <w:rPr>
          <w:rFonts w:asciiTheme="majorEastAsia" w:hAnsiTheme="majorEastAsia" w:eastAsiaTheme="majorEastAsia"/>
          <w:szCs w:val="28"/>
        </w:rPr>
        <w:t>《规划》</w:t>
      </w:r>
      <w:r>
        <w:rPr>
          <w:rFonts w:hint="eastAsia" w:asciiTheme="majorEastAsia" w:hAnsiTheme="majorEastAsia" w:eastAsiaTheme="majorEastAsia"/>
          <w:szCs w:val="28"/>
        </w:rPr>
        <w:t>作为深化陆海双向开放、推进西部大开发形成新格局的重要举措，作为“十四五”时期实施的重大工程之一，将加快通道和物流设施建设，提升运输能力和物流发展质量效率，促进交通、物流、商贸、产业深度融合，为推动西部地区高质量发展、建设现代化经济体系提供有力支撑，必将有力推动以交通带流通促畅通。</w:t>
      </w:r>
    </w:p>
    <w:p>
      <w:pPr>
        <w:ind w:left="562"/>
        <w:rPr>
          <w:rFonts w:asciiTheme="majorEastAsia" w:hAnsiTheme="majorEastAsia" w:eastAsiaTheme="majorEastAsia"/>
          <w:b/>
          <w:bCs/>
          <w:szCs w:val="28"/>
        </w:rPr>
      </w:pPr>
      <w:r>
        <w:rPr>
          <w:rFonts w:hint="eastAsia" w:asciiTheme="majorEastAsia" w:hAnsiTheme="majorEastAsia" w:eastAsiaTheme="majorEastAsia"/>
          <w:b/>
          <w:bCs/>
          <w:szCs w:val="28"/>
        </w:rPr>
        <w:t>3</w:t>
      </w:r>
      <w:r>
        <w:rPr>
          <w:rFonts w:asciiTheme="majorEastAsia" w:hAnsiTheme="majorEastAsia" w:eastAsiaTheme="majorEastAsia"/>
          <w:b/>
          <w:bCs/>
          <w:szCs w:val="28"/>
        </w:rPr>
        <w:t>.</w:t>
      </w:r>
      <w:r>
        <w:rPr>
          <w:rFonts w:hint="eastAsia" w:asciiTheme="majorEastAsia" w:hAnsiTheme="majorEastAsia" w:eastAsiaTheme="majorEastAsia"/>
          <w:b/>
          <w:bCs/>
          <w:szCs w:val="28"/>
        </w:rPr>
        <w:t>构建新发展格局，为交通发展释放新活力</w:t>
      </w:r>
    </w:p>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国家大力构建以国内大循环为主体、国内国际双循环相互促进的新发展格局。交通运输连接生产和消费两端，是现代流通体系的基础依托，也是畅通经济循环的重要环节。双循环格局进一步提升交通运输的战略地位，必将有力促进综合交通运输和现代物流业发展。</w:t>
      </w:r>
    </w:p>
    <w:p>
      <w:pPr>
        <w:pStyle w:val="40"/>
        <w:ind w:left="420" w:firstLine="140" w:firstLineChars="50"/>
        <w:rPr>
          <w:rFonts w:asciiTheme="majorEastAsia" w:hAnsiTheme="majorEastAsia" w:eastAsiaTheme="majorEastAsia"/>
          <w:b/>
          <w:bCs/>
          <w:szCs w:val="28"/>
        </w:rPr>
      </w:pPr>
      <w:r>
        <w:rPr>
          <w:rFonts w:hint="eastAsia" w:asciiTheme="majorEastAsia" w:hAnsiTheme="majorEastAsia" w:eastAsiaTheme="majorEastAsia"/>
          <w:b/>
          <w:bCs/>
          <w:szCs w:val="28"/>
        </w:rPr>
        <w:t>4</w:t>
      </w:r>
      <w:r>
        <w:rPr>
          <w:rFonts w:asciiTheme="majorEastAsia" w:hAnsiTheme="majorEastAsia" w:eastAsiaTheme="majorEastAsia"/>
          <w:b/>
          <w:bCs/>
          <w:szCs w:val="28"/>
        </w:rPr>
        <w:t>.</w:t>
      </w:r>
      <w:r>
        <w:rPr>
          <w:rFonts w:hint="eastAsia" w:asciiTheme="majorEastAsia" w:hAnsiTheme="majorEastAsia" w:eastAsiaTheme="majorEastAsia"/>
          <w:b/>
          <w:bCs/>
          <w:szCs w:val="28"/>
        </w:rPr>
        <w:t>坚持贯彻新发展理念，助推交通运输高质量发展</w:t>
      </w:r>
    </w:p>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坚持以习近平新时代中国特色社会主义思想为指导，坚持稳中求进工作总基调，推动高质量发展，把推进“四新”“四化”作为重大政治责任，立足新发展阶段、贯彻新发展理念、融入新发展格局，坚持全局意识、系统观念、辩证思维，全力以赴在新时代西部大开发上闯新路、在乡村振兴上开新局、在实施数字经济战略上抢新机、在生态文明建设上出新绩，全力以赴狠抓新型工业化、新型城镇化、农业现代化、旅游产业化，坚决把脱贫攻坚成果巩固住、拓展好，在新征程上不断推动高质量发展，强化规划引领，服务国家战略，以重大项目为载体，进一步抓交通发展中的突出短板和薄弱环节，着力优化供给结构，扩大有效供给，加强战略性、网络型基础设施建设，重点完善城镇化地区的交通网络，加快提高农村地区公路网络化水平和服务能力，全面提升交通运输的供给质量和效率，加快构建现代综合交通运输体系，奋力推动六盘水市交通运输事业高质量发展，推动交通运输服务从“有没有”向“好不好”转变，为交通强国建设作出贡献，为新时代推进西部大开发形成新格局当好先行。</w:t>
      </w:r>
    </w:p>
    <w:p>
      <w:pPr>
        <w:pStyle w:val="40"/>
        <w:numPr>
          <w:ilvl w:val="0"/>
          <w:numId w:val="1"/>
        </w:numPr>
        <w:ind w:firstLineChars="0"/>
        <w:rPr>
          <w:rFonts w:asciiTheme="majorEastAsia" w:hAnsiTheme="majorEastAsia" w:eastAsiaTheme="majorEastAsia"/>
          <w:b/>
          <w:bCs/>
          <w:szCs w:val="28"/>
        </w:rPr>
      </w:pPr>
      <w:r>
        <w:rPr>
          <w:rFonts w:hint="eastAsia" w:asciiTheme="majorEastAsia" w:hAnsiTheme="majorEastAsia" w:eastAsiaTheme="majorEastAsia"/>
          <w:b/>
          <w:bCs/>
          <w:szCs w:val="28"/>
        </w:rPr>
        <w:t>传统产业转型升级，提高运输服务水平</w:t>
      </w:r>
    </w:p>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作为老工业城市和资源成长型城市，六盘水近年来全力推进大扶贫、大数据、大生态三大战略行动，围绕产业转型升级积极探索，取得了一定成绩。党的十八大以来，六盘水市以高质量发展为引领，以传统产业改造升级、新兴产业培育发展和凉都城市品质品位提升为重点，统筹推进产业结构调整、营商环境优化、创新能力提升、民生改善、生态建设和环境保护，逐步建成了煤及煤化工、材料及新材料、电力及电力装备等百亿级产业集群，初步形成了喀斯特山地产城融合高质量发展模式，为老工业城市和资源型城市转型升级探索积累了经验。同时聚焦山地特色农业和全域旅游发展，在产业生态化和生态产业化上作了示范。</w:t>
      </w:r>
    </w:p>
    <w:p>
      <w:pPr>
        <w:ind w:firstLine="560" w:firstLineChars="200"/>
        <w:rPr>
          <w:rFonts w:asciiTheme="majorEastAsia" w:hAnsiTheme="majorEastAsia" w:eastAsiaTheme="majorEastAsia"/>
          <w:szCs w:val="28"/>
        </w:rPr>
      </w:pPr>
      <w:r>
        <w:rPr>
          <w:rFonts w:asciiTheme="majorEastAsia" w:hAnsiTheme="majorEastAsia" w:eastAsiaTheme="majorEastAsia"/>
          <w:szCs w:val="28"/>
        </w:rPr>
        <w:t>高质量发展基础不断夯实，</w:t>
      </w:r>
      <w:r>
        <w:rPr>
          <w:rFonts w:hint="eastAsia" w:asciiTheme="majorEastAsia" w:hAnsiTheme="majorEastAsia" w:eastAsiaTheme="majorEastAsia"/>
          <w:szCs w:val="28"/>
        </w:rPr>
        <w:t>推进六盘水市产业转型升级示范区建设，按照“巩固、增强、提升、畅通”的方针，立足资源禀赋、产业基础、市场需求，六盘水将扛起“狠抓新型工业化，奋力实现工业大突破”的重大使命，坚定不移把推进新型工业化作为高质量发展的首要任务来抓，全市经济转型进入了新阶段，</w:t>
      </w:r>
      <w:r>
        <w:rPr>
          <w:rFonts w:asciiTheme="majorEastAsia" w:hAnsiTheme="majorEastAsia" w:eastAsiaTheme="majorEastAsia"/>
          <w:szCs w:val="28"/>
        </w:rPr>
        <w:t>经济结构不断优化，居民生活持续改善，为交通基础设施带来了巨大需求</w:t>
      </w:r>
      <w:r>
        <w:rPr>
          <w:rFonts w:hint="eastAsia" w:asciiTheme="majorEastAsia" w:hAnsiTheme="majorEastAsia" w:eastAsiaTheme="majorEastAsia"/>
          <w:szCs w:val="28"/>
        </w:rPr>
        <w:t>。交通运输基础设施投资是六盘水经济稳定增长的助推器，带来了大量的人口就业。</w:t>
      </w:r>
      <w:r>
        <w:rPr>
          <w:rFonts w:asciiTheme="majorEastAsia" w:hAnsiTheme="majorEastAsia" w:eastAsiaTheme="majorEastAsia"/>
          <w:szCs w:val="28"/>
        </w:rPr>
        <w:t>通达便捷的交通基础设施</w:t>
      </w:r>
      <w:r>
        <w:rPr>
          <w:rFonts w:hint="eastAsia" w:asciiTheme="majorEastAsia" w:hAnsiTheme="majorEastAsia" w:eastAsiaTheme="majorEastAsia"/>
          <w:szCs w:val="28"/>
        </w:rPr>
        <w:t>可以带动产业发展，降低物流成本，同时，在交通基础设施大力发展下，六盘水实现了西向连接云南、东向连接贵阳、北向连接四川、南向连接广西等的快速通道，交通的改善打开了六盘水旅游市场，拓展了旅游辐射区域，交通带动旅游产业发展，有效提高运输成本从而降低经济成本，加速产业转型升级。</w:t>
      </w:r>
    </w:p>
    <w:p>
      <w:pPr>
        <w:ind w:firstLine="562" w:firstLineChars="200"/>
        <w:rPr>
          <w:rFonts w:asciiTheme="majorEastAsia" w:hAnsiTheme="majorEastAsia" w:eastAsiaTheme="majorEastAsia"/>
          <w:b/>
          <w:bCs/>
          <w:szCs w:val="28"/>
        </w:rPr>
      </w:pPr>
      <w:r>
        <w:rPr>
          <w:rFonts w:asciiTheme="majorEastAsia" w:hAnsiTheme="majorEastAsia" w:eastAsiaTheme="majorEastAsia"/>
          <w:b/>
          <w:bCs/>
          <w:szCs w:val="28"/>
        </w:rPr>
        <w:t>6.</w:t>
      </w:r>
      <w:r>
        <w:rPr>
          <w:rFonts w:hint="eastAsia" w:asciiTheme="majorEastAsia" w:hAnsiTheme="majorEastAsia" w:eastAsiaTheme="majorEastAsia"/>
          <w:b/>
          <w:bCs/>
          <w:szCs w:val="28"/>
        </w:rPr>
        <w:t>紧抓科技时代机遇，要求以科技创新注入交通发展新动力</w:t>
      </w:r>
    </w:p>
    <w:p>
      <w:pPr>
        <w:ind w:firstLine="560" w:firstLineChars="200"/>
        <w:rPr>
          <w:rFonts w:asciiTheme="majorEastAsia" w:hAnsiTheme="majorEastAsia" w:eastAsiaTheme="majorEastAsia"/>
          <w:szCs w:val="28"/>
        </w:rPr>
      </w:pPr>
      <w:r>
        <w:rPr>
          <w:rFonts w:asciiTheme="majorEastAsia" w:hAnsiTheme="majorEastAsia" w:eastAsiaTheme="majorEastAsia"/>
          <w:szCs w:val="28"/>
        </w:rPr>
        <w:t>党的十九大报告提出加快建设创新型国家，推动互联网、大数据、人工智能和实体经济深度融合，在创新引领、共享经济、现代供应链等领域培育新增长点、形成新动能。当前，全国新一轮科技革命、产业变革加速推进，以人工智能、区块链、云计算、大数据等为代表的新一代信息技术迭代升级，新能源、新材料、智能建造、5G等新技术加快应用，将对交通运输工具带来颠覆性变化。“互联网+”、分享经济、绿色科技等快速发展对人们的生活方式和交通运输发展带来了深刻影响。</w:t>
      </w:r>
      <w:r>
        <w:rPr>
          <w:rFonts w:hint="eastAsia" w:asciiTheme="majorEastAsia" w:hAnsiTheme="majorEastAsia" w:eastAsiaTheme="majorEastAsia"/>
          <w:szCs w:val="28"/>
        </w:rPr>
        <w:t>六盘水市</w:t>
      </w:r>
      <w:r>
        <w:rPr>
          <w:rFonts w:asciiTheme="majorEastAsia" w:hAnsiTheme="majorEastAsia" w:eastAsiaTheme="majorEastAsia"/>
          <w:szCs w:val="28"/>
        </w:rPr>
        <w:t>坚持发展大数据产业，着力进行智能航运和自动化码头、超限运输治理应急指挥监控中心建设。这些技术革新和产业变革将促使交通基础设施与信息网络加速融合发展，提高交通设施供给品质和水平，以更好地适应日益升级的交通运输需求。</w:t>
      </w:r>
      <w:r>
        <w:rPr>
          <w:rFonts w:hint="eastAsia" w:asciiTheme="majorEastAsia" w:hAnsiTheme="majorEastAsia" w:eastAsiaTheme="majorEastAsia"/>
          <w:szCs w:val="28"/>
        </w:rPr>
        <w:t>交通运输服务需在设施建设、管理机制、服务体系方面及时做出创新和变革，提高交通运输资源利用效率和管理精细化水平，全面提升交通运输行业服务品质和科学治理能力。</w:t>
      </w:r>
    </w:p>
    <w:p>
      <w:pPr>
        <w:ind w:firstLine="562" w:firstLineChars="200"/>
        <w:rPr>
          <w:rFonts w:asciiTheme="majorEastAsia" w:hAnsiTheme="majorEastAsia" w:eastAsiaTheme="majorEastAsia"/>
          <w:b/>
          <w:bCs/>
          <w:szCs w:val="28"/>
        </w:rPr>
      </w:pPr>
      <w:r>
        <w:rPr>
          <w:rFonts w:asciiTheme="majorEastAsia" w:hAnsiTheme="majorEastAsia" w:eastAsiaTheme="majorEastAsia"/>
          <w:b/>
          <w:bCs/>
          <w:szCs w:val="28"/>
        </w:rPr>
        <w:t>7.</w:t>
      </w:r>
      <w:r>
        <w:rPr>
          <w:rFonts w:hint="eastAsia" w:asciiTheme="majorEastAsia" w:hAnsiTheme="majorEastAsia" w:eastAsiaTheme="majorEastAsia"/>
          <w:b/>
          <w:bCs/>
          <w:szCs w:val="28"/>
        </w:rPr>
        <w:t xml:space="preserve"> 市</w:t>
      </w:r>
      <w:r>
        <w:rPr>
          <w:rFonts w:asciiTheme="majorEastAsia" w:hAnsiTheme="majorEastAsia" w:eastAsiaTheme="majorEastAsia"/>
          <w:b/>
          <w:bCs/>
          <w:szCs w:val="28"/>
        </w:rPr>
        <w:t>委</w:t>
      </w:r>
      <w:r>
        <w:rPr>
          <w:rFonts w:hint="eastAsia" w:asciiTheme="majorEastAsia" w:hAnsiTheme="majorEastAsia" w:eastAsiaTheme="majorEastAsia"/>
          <w:b/>
          <w:bCs/>
          <w:szCs w:val="28"/>
        </w:rPr>
        <w:t>市</w:t>
      </w:r>
      <w:r>
        <w:rPr>
          <w:rFonts w:asciiTheme="majorEastAsia" w:hAnsiTheme="majorEastAsia" w:eastAsiaTheme="majorEastAsia"/>
          <w:b/>
          <w:bCs/>
          <w:szCs w:val="28"/>
        </w:rPr>
        <w:t>政府高度重视提供了坚实保障</w:t>
      </w:r>
    </w:p>
    <w:p>
      <w:pPr>
        <w:ind w:firstLine="560" w:firstLineChars="200"/>
        <w:rPr>
          <w:rFonts w:asciiTheme="majorEastAsia" w:hAnsiTheme="majorEastAsia" w:eastAsiaTheme="majorEastAsia"/>
          <w:szCs w:val="28"/>
        </w:rPr>
      </w:pPr>
      <w:r>
        <w:rPr>
          <w:rFonts w:asciiTheme="majorEastAsia" w:hAnsiTheme="majorEastAsia" w:eastAsiaTheme="majorEastAsia"/>
          <w:szCs w:val="28"/>
        </w:rPr>
        <w:t>“十四五”期，</w:t>
      </w:r>
      <w:r>
        <w:rPr>
          <w:rFonts w:hint="eastAsia" w:asciiTheme="majorEastAsia" w:hAnsiTheme="majorEastAsia" w:eastAsiaTheme="majorEastAsia"/>
          <w:szCs w:val="28"/>
        </w:rPr>
        <w:t>市</w:t>
      </w:r>
      <w:r>
        <w:rPr>
          <w:rFonts w:asciiTheme="majorEastAsia" w:hAnsiTheme="majorEastAsia" w:eastAsiaTheme="majorEastAsia"/>
          <w:szCs w:val="28"/>
        </w:rPr>
        <w:t>委</w:t>
      </w:r>
      <w:r>
        <w:rPr>
          <w:rFonts w:hint="eastAsia" w:asciiTheme="majorEastAsia" w:hAnsiTheme="majorEastAsia" w:eastAsiaTheme="majorEastAsia"/>
          <w:szCs w:val="28"/>
        </w:rPr>
        <w:t>市</w:t>
      </w:r>
      <w:r>
        <w:rPr>
          <w:rFonts w:asciiTheme="majorEastAsia" w:hAnsiTheme="majorEastAsia" w:eastAsiaTheme="majorEastAsia"/>
          <w:szCs w:val="28"/>
        </w:rPr>
        <w:t>政府将继续把推动交通运输加快发展作为一项重大战略，从财政投入、项目立项等方面大力支持交通运输发展。省政府或多部门已联合印发了“贵州省新时代高速公路建设五年决战实施方案”“贵州省路网建设专项行动方案”等重要文件，为“十四五”期交通建设提供了政策措施保障。</w:t>
      </w:r>
      <w:r>
        <w:rPr>
          <w:rFonts w:hint="eastAsia" w:asciiTheme="majorEastAsia" w:hAnsiTheme="majorEastAsia" w:eastAsiaTheme="majorEastAsia"/>
          <w:szCs w:val="28"/>
        </w:rPr>
        <w:t>市</w:t>
      </w:r>
      <w:r>
        <w:rPr>
          <w:rFonts w:asciiTheme="majorEastAsia" w:hAnsiTheme="majorEastAsia" w:eastAsiaTheme="majorEastAsia"/>
          <w:szCs w:val="28"/>
        </w:rPr>
        <w:t>委</w:t>
      </w:r>
      <w:r>
        <w:rPr>
          <w:rFonts w:hint="eastAsia" w:asciiTheme="majorEastAsia" w:hAnsiTheme="majorEastAsia" w:eastAsiaTheme="majorEastAsia"/>
          <w:szCs w:val="28"/>
        </w:rPr>
        <w:t>市</w:t>
      </w:r>
      <w:r>
        <w:rPr>
          <w:rFonts w:asciiTheme="majorEastAsia" w:hAnsiTheme="majorEastAsia" w:eastAsiaTheme="majorEastAsia"/>
          <w:szCs w:val="28"/>
        </w:rPr>
        <w:t>政府坚决打好新时代高速公路建设攻坚战与普通国省干道改造攻坚战，积极支持乡镇交通设施建设，推动普通公路建设模式创新，为项目立项和实施提供了机制保障。</w:t>
      </w:r>
    </w:p>
    <w:p>
      <w:pPr>
        <w:pStyle w:val="4"/>
        <w:rPr>
          <w:rFonts w:asciiTheme="majorEastAsia" w:hAnsiTheme="majorEastAsia" w:eastAsiaTheme="majorEastAsia"/>
        </w:rPr>
      </w:pPr>
      <w:bookmarkStart w:id="494" w:name="_Toc80103510"/>
      <w:bookmarkStart w:id="495" w:name="_Toc66179122"/>
      <w:bookmarkStart w:id="496" w:name="_Toc73625956"/>
      <w:bookmarkStart w:id="497" w:name="_Toc79923770"/>
      <w:bookmarkStart w:id="498" w:name="_Toc66367411"/>
      <w:bookmarkStart w:id="499" w:name="_Toc58318735"/>
      <w:bookmarkStart w:id="500" w:name="_Toc63600996"/>
      <w:bookmarkStart w:id="501" w:name="_Toc56264690"/>
      <w:bookmarkStart w:id="502" w:name="_Toc66367606"/>
      <w:bookmarkStart w:id="503" w:name="_Toc66367237"/>
      <w:bookmarkStart w:id="504" w:name="_Toc72513432"/>
      <w:bookmarkStart w:id="505" w:name="_Toc66367324"/>
      <w:bookmarkStart w:id="506" w:name="_Toc76994090"/>
      <w:bookmarkStart w:id="507" w:name="_Toc89102179"/>
      <w:bookmarkStart w:id="508" w:name="_Toc78374970"/>
      <w:bookmarkStart w:id="509" w:name="_Toc81406384"/>
      <w:bookmarkStart w:id="510" w:name="_Toc78556419"/>
      <w:bookmarkStart w:id="511" w:name="_Toc76993397"/>
      <w:bookmarkStart w:id="512" w:name="_Toc76490220"/>
      <w:bookmarkStart w:id="513" w:name="_Toc76994474"/>
      <w:bookmarkStart w:id="514" w:name="_Toc79048555"/>
      <w:bookmarkStart w:id="515" w:name="_Toc78550999"/>
      <w:bookmarkStart w:id="516" w:name="_Toc78813473"/>
      <w:bookmarkStart w:id="517" w:name="_Toc82161455"/>
      <w:bookmarkStart w:id="518" w:name="_Toc75518129"/>
      <w:bookmarkStart w:id="519" w:name="_Toc80715960"/>
      <w:bookmarkStart w:id="520" w:name="_Toc72777980"/>
      <w:r>
        <w:rPr>
          <w:rFonts w:asciiTheme="majorEastAsia" w:hAnsiTheme="majorEastAsia" w:eastAsiaTheme="majorEastAsia"/>
        </w:rPr>
        <w:t>3.2.2面临挑战</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pPr>
        <w:spacing w:line="480" w:lineRule="auto"/>
        <w:ind w:firstLine="567"/>
        <w:rPr>
          <w:rFonts w:asciiTheme="majorEastAsia" w:hAnsiTheme="majorEastAsia" w:eastAsiaTheme="majorEastAsia"/>
          <w:szCs w:val="22"/>
        </w:rPr>
      </w:pPr>
      <w:r>
        <w:rPr>
          <w:rFonts w:asciiTheme="majorEastAsia" w:hAnsiTheme="majorEastAsia" w:eastAsiaTheme="majorEastAsia"/>
          <w:szCs w:val="22"/>
        </w:rPr>
        <w:t>受资金、土地、环保等多重因素叠加影响，“十四五”期交通建设还面临一些困难和挑战，主要表现在以下几个方面：</w:t>
      </w:r>
    </w:p>
    <w:p>
      <w:pPr>
        <w:spacing w:line="480" w:lineRule="auto"/>
        <w:ind w:firstLine="567"/>
        <w:rPr>
          <w:rFonts w:asciiTheme="majorEastAsia" w:hAnsiTheme="majorEastAsia" w:eastAsiaTheme="majorEastAsia"/>
          <w:b/>
          <w:bCs/>
          <w:szCs w:val="22"/>
        </w:rPr>
      </w:pPr>
      <w:r>
        <w:rPr>
          <w:rFonts w:asciiTheme="majorEastAsia" w:hAnsiTheme="majorEastAsia" w:eastAsiaTheme="majorEastAsia"/>
          <w:b/>
          <w:bCs/>
          <w:szCs w:val="22"/>
        </w:rPr>
        <w:t>1.经济下行压力加大给“稳增长”带来挑战。</w:t>
      </w:r>
    </w:p>
    <w:p>
      <w:pPr>
        <w:spacing w:line="480" w:lineRule="auto"/>
        <w:ind w:firstLine="567"/>
        <w:rPr>
          <w:rFonts w:asciiTheme="majorEastAsia" w:hAnsiTheme="majorEastAsia" w:eastAsiaTheme="majorEastAsia"/>
          <w:szCs w:val="22"/>
        </w:rPr>
      </w:pPr>
      <w:r>
        <w:rPr>
          <w:rFonts w:asciiTheme="majorEastAsia" w:hAnsiTheme="majorEastAsia" w:eastAsiaTheme="majorEastAsia"/>
          <w:szCs w:val="22"/>
        </w:rPr>
        <w:t>我国经济“三期叠加”影响持续深化，经济下行压力持续加大，稳中求进是当前和今后一个时期党和国家各项工作的总基调；补短板、稳投资，是服务做好“六稳”工作的重要举措。“十四五”期六盘水市交通建设发展，要坚决服务好经济平稳大局，要发挥交通基础设施对稳定经济增长的关键作用，确保交通基础设施投资规模高位运行。但当前，六盘水市经济运行仍面临诸多挑战，农业基础并不稳固，工业发展后劲不足，消费活力尚未有效激发，防范化解金融债务风险不容忽视。同时，受交通事权划分改革等影响，普通省道、农村公路等领域中央资金补助政策存在不确定性，亟需找准交通建设稳投资与防风险的平衡点。</w:t>
      </w:r>
    </w:p>
    <w:p>
      <w:pPr>
        <w:spacing w:line="480" w:lineRule="auto"/>
        <w:ind w:firstLine="562" w:firstLineChars="200"/>
        <w:rPr>
          <w:rFonts w:asciiTheme="majorEastAsia" w:hAnsiTheme="majorEastAsia" w:eastAsiaTheme="majorEastAsia"/>
          <w:kern w:val="0"/>
          <w:szCs w:val="28"/>
        </w:rPr>
      </w:pPr>
      <w:r>
        <w:rPr>
          <w:rFonts w:asciiTheme="majorEastAsia" w:hAnsiTheme="majorEastAsia" w:eastAsiaTheme="majorEastAsia"/>
          <w:b/>
          <w:szCs w:val="28"/>
        </w:rPr>
        <w:t>2.投融资环境趋紧给建设资金筹集带来挑战。</w:t>
      </w:r>
    </w:p>
    <w:p>
      <w:pPr>
        <w:spacing w:line="480" w:lineRule="auto"/>
        <w:ind w:firstLine="560" w:firstLineChars="200"/>
        <w:rPr>
          <w:rFonts w:asciiTheme="majorEastAsia" w:hAnsiTheme="majorEastAsia" w:eastAsiaTheme="majorEastAsia"/>
          <w:szCs w:val="22"/>
        </w:rPr>
      </w:pPr>
      <w:r>
        <w:rPr>
          <w:rFonts w:asciiTheme="majorEastAsia" w:hAnsiTheme="majorEastAsia" w:eastAsiaTheme="majorEastAsia"/>
          <w:szCs w:val="22"/>
        </w:rPr>
        <w:t>党的十九大强调要把防范和化解行业债务风险放在更加突出位置，妥善处置好行业存量债务，有效遏制债务增量，要求科学规划、审慎推进重大项目实施，防范系统性金融风险。2019年中共中央办公厅、国务院办公厅印发《关于做好地方政府专项债券发行及项目配套融资工作的通知》，要求从严设定政策条件，严禁利用专项债券作为重大项目资本金政策层层放大杠杆，进一步健全地方政府举债融资机制。“十四五”期，</w:t>
      </w:r>
      <w:r>
        <w:rPr>
          <w:rFonts w:hint="eastAsia" w:asciiTheme="majorEastAsia" w:hAnsiTheme="majorEastAsia" w:eastAsiaTheme="majorEastAsia"/>
          <w:szCs w:val="22"/>
        </w:rPr>
        <w:t>六盘水市</w:t>
      </w:r>
      <w:r>
        <w:rPr>
          <w:rFonts w:asciiTheme="majorEastAsia" w:hAnsiTheme="majorEastAsia" w:eastAsiaTheme="majorEastAsia"/>
          <w:szCs w:val="22"/>
        </w:rPr>
        <w:t>交通建设需求仍然较大。在筹融资渠道收紧、资金来源规模减少，且建设交通强国、西部陆海新通道等新增任务需要落实的情况下，“十四五”期间，</w:t>
      </w:r>
      <w:r>
        <w:rPr>
          <w:rFonts w:hint="eastAsia" w:asciiTheme="majorEastAsia" w:hAnsiTheme="majorEastAsia" w:eastAsiaTheme="majorEastAsia"/>
          <w:szCs w:val="22"/>
        </w:rPr>
        <w:t>六盘水市</w:t>
      </w:r>
      <w:r>
        <w:rPr>
          <w:rFonts w:asciiTheme="majorEastAsia" w:hAnsiTheme="majorEastAsia" w:eastAsiaTheme="majorEastAsia"/>
          <w:szCs w:val="22"/>
        </w:rPr>
        <w:t>交通建设资金供需矛盾将进一步凸显。</w:t>
      </w:r>
    </w:p>
    <w:p>
      <w:pPr>
        <w:spacing w:line="480" w:lineRule="auto"/>
        <w:ind w:firstLine="562" w:firstLineChars="200"/>
        <w:rPr>
          <w:rFonts w:asciiTheme="majorEastAsia" w:hAnsiTheme="majorEastAsia" w:eastAsiaTheme="majorEastAsia"/>
          <w:b/>
          <w:kern w:val="0"/>
          <w:szCs w:val="28"/>
        </w:rPr>
      </w:pPr>
      <w:r>
        <w:rPr>
          <w:rFonts w:asciiTheme="majorEastAsia" w:hAnsiTheme="majorEastAsia" w:eastAsiaTheme="majorEastAsia"/>
          <w:b/>
          <w:kern w:val="0"/>
          <w:szCs w:val="28"/>
        </w:rPr>
        <w:t>3.发展要素约束给交通建设提出了更高要求。</w:t>
      </w:r>
    </w:p>
    <w:p>
      <w:pPr>
        <w:spacing w:line="480" w:lineRule="auto"/>
        <w:ind w:firstLine="560" w:firstLineChars="200"/>
        <w:rPr>
          <w:rFonts w:asciiTheme="majorEastAsia" w:hAnsiTheme="majorEastAsia" w:eastAsiaTheme="majorEastAsia"/>
          <w:szCs w:val="22"/>
        </w:rPr>
      </w:pPr>
      <w:r>
        <w:rPr>
          <w:rFonts w:asciiTheme="majorEastAsia" w:hAnsiTheme="majorEastAsia" w:eastAsiaTheme="majorEastAsia"/>
          <w:szCs w:val="22"/>
        </w:rPr>
        <w:t>党的十九大把生态文明建设放在突出地位，坚持节约资源和保护环境的基本国策，着力推进绿色发展、循环发展和低碳发展。《环保法修订案》明确建立了生态红线、生态保护补偿和修复等新的基本制度，交通建设中的环保要求日益提高。</w:t>
      </w:r>
      <w:r>
        <w:rPr>
          <w:rFonts w:hint="eastAsia" w:asciiTheme="majorEastAsia" w:hAnsiTheme="majorEastAsia" w:eastAsiaTheme="majorEastAsia"/>
          <w:szCs w:val="22"/>
        </w:rPr>
        <w:t>六盘水市</w:t>
      </w:r>
      <w:r>
        <w:rPr>
          <w:rFonts w:asciiTheme="majorEastAsia" w:hAnsiTheme="majorEastAsia" w:eastAsiaTheme="majorEastAsia"/>
          <w:szCs w:val="22"/>
        </w:rPr>
        <w:t>生态系统脆弱，自然保护区、环境敏感区较多，加强生态环境保护具有重要意义。</w:t>
      </w:r>
    </w:p>
    <w:p>
      <w:pPr>
        <w:spacing w:line="480" w:lineRule="auto"/>
        <w:ind w:firstLine="560" w:firstLineChars="200"/>
        <w:rPr>
          <w:rFonts w:asciiTheme="majorEastAsia" w:hAnsiTheme="majorEastAsia" w:eastAsiaTheme="majorEastAsia"/>
          <w:szCs w:val="22"/>
        </w:rPr>
      </w:pPr>
      <w:r>
        <w:rPr>
          <w:rFonts w:asciiTheme="majorEastAsia" w:hAnsiTheme="majorEastAsia" w:eastAsiaTheme="majorEastAsia"/>
          <w:szCs w:val="22"/>
        </w:rPr>
        <w:t>“十四五”期间，随着交通运输需求的不断增长，</w:t>
      </w:r>
      <w:r>
        <w:rPr>
          <w:rFonts w:hint="eastAsia" w:asciiTheme="majorEastAsia" w:hAnsiTheme="majorEastAsia" w:eastAsiaTheme="majorEastAsia"/>
          <w:szCs w:val="22"/>
        </w:rPr>
        <w:t>六盘水市</w:t>
      </w:r>
      <w:r>
        <w:rPr>
          <w:rFonts w:asciiTheme="majorEastAsia" w:hAnsiTheme="majorEastAsia" w:eastAsiaTheme="majorEastAsia"/>
          <w:szCs w:val="22"/>
        </w:rPr>
        <w:t>未来交通建设发展中必须注重超前谋划，做好红线预留，注重沿线自然环境保护和生态修复，确保交通建设项目切实可行，实现交通运输可持续发展。</w:t>
      </w:r>
      <w:r>
        <w:rPr>
          <w:rFonts w:asciiTheme="majorEastAsia" w:hAnsiTheme="majorEastAsia" w:eastAsiaTheme="majorEastAsia"/>
          <w:bCs/>
          <w:kern w:val="0"/>
          <w:szCs w:val="28"/>
        </w:rPr>
        <w:t>同时，</w:t>
      </w:r>
      <w:r>
        <w:rPr>
          <w:rFonts w:asciiTheme="majorEastAsia" w:hAnsiTheme="majorEastAsia" w:eastAsiaTheme="majorEastAsia"/>
          <w:szCs w:val="22"/>
        </w:rPr>
        <w:t>项目建设用地指标、耕地占补平衡等矛盾日益突出，土地预审办理周期加长，难度进一步加大，给交通建设项目前期工作提出了挑战。受国土空间管控政策影响，尤其是“三区三线”“三线一单”划定，“多规合一”工作和项目建设将迎来新的考验，需要交通运输发展从传统要素驱动型向创新驱动型转变，贯彻生态文明发展理念，由追求速度规模向更加注重质量效益转变，由各种交通方式相对独立发展向更加注重一体化融合发展转变。</w:t>
      </w:r>
    </w:p>
    <w:p>
      <w:pPr>
        <w:pStyle w:val="3"/>
        <w:rPr>
          <w:rFonts w:asciiTheme="majorEastAsia" w:hAnsiTheme="majorEastAsia" w:eastAsiaTheme="majorEastAsia"/>
        </w:rPr>
      </w:pPr>
      <w:bookmarkStart w:id="521" w:name="_Toc51756518"/>
      <w:bookmarkStart w:id="522" w:name="_Toc89102180"/>
      <w:r>
        <w:rPr>
          <w:rFonts w:asciiTheme="majorEastAsia" w:hAnsiTheme="majorEastAsia" w:eastAsiaTheme="majorEastAsia"/>
        </w:rPr>
        <w:t>3.3 “十四五”期交通运输发展的阶段性特征</w:t>
      </w:r>
      <w:bookmarkEnd w:id="521"/>
      <w:bookmarkEnd w:id="522"/>
    </w:p>
    <w:p>
      <w:pPr>
        <w:spacing w:line="480" w:lineRule="auto"/>
        <w:ind w:firstLine="567"/>
        <w:rPr>
          <w:rFonts w:asciiTheme="majorEastAsia" w:hAnsiTheme="majorEastAsia" w:eastAsiaTheme="majorEastAsia"/>
          <w:kern w:val="0"/>
          <w:szCs w:val="28"/>
        </w:rPr>
      </w:pPr>
      <w:r>
        <w:rPr>
          <w:rFonts w:asciiTheme="majorEastAsia" w:hAnsiTheme="majorEastAsia" w:eastAsiaTheme="majorEastAsia"/>
          <w:kern w:val="0"/>
          <w:szCs w:val="28"/>
        </w:rPr>
        <w:t>结合内外形势与发展机遇、需求总体判断，“十四五”期不再是粗放式扩张的时代，而是找准着力点和切入点，瞄准短板、精准发力，注重效益、提升品质的新时代。</w:t>
      </w:r>
      <w:r>
        <w:rPr>
          <w:rFonts w:hint="eastAsia" w:asciiTheme="majorEastAsia" w:hAnsiTheme="majorEastAsia" w:eastAsiaTheme="majorEastAsia"/>
          <w:kern w:val="0"/>
          <w:szCs w:val="28"/>
        </w:rPr>
        <w:t>站在新的历史起点，外围环境正在发生深刻变化，结合内外部形势总体判断，“十四五”期，六盘水市交通运输发展将呈现四个转变：</w:t>
      </w:r>
    </w:p>
    <w:p>
      <w:pPr>
        <w:spacing w:line="480" w:lineRule="auto"/>
        <w:ind w:firstLine="567"/>
        <w:rPr>
          <w:rFonts w:asciiTheme="majorEastAsia" w:hAnsiTheme="majorEastAsia" w:eastAsiaTheme="majorEastAsia"/>
          <w:b/>
          <w:kern w:val="0"/>
          <w:szCs w:val="28"/>
        </w:rPr>
      </w:pPr>
      <w:r>
        <w:rPr>
          <w:rFonts w:hint="eastAsia" w:asciiTheme="majorEastAsia" w:hAnsiTheme="majorEastAsia" w:eastAsiaTheme="majorEastAsia"/>
          <w:b/>
          <w:kern w:val="0"/>
          <w:szCs w:val="28"/>
        </w:rPr>
        <w:t>在发展理念上，由规模扩张向注重质量效益转变；</w:t>
      </w:r>
    </w:p>
    <w:p>
      <w:pPr>
        <w:spacing w:line="480" w:lineRule="auto"/>
        <w:ind w:firstLine="567"/>
        <w:rPr>
          <w:rFonts w:asciiTheme="majorEastAsia" w:hAnsiTheme="majorEastAsia" w:eastAsiaTheme="majorEastAsia"/>
          <w:b/>
          <w:kern w:val="0"/>
          <w:szCs w:val="28"/>
        </w:rPr>
      </w:pPr>
      <w:r>
        <w:rPr>
          <w:rFonts w:hint="eastAsia" w:asciiTheme="majorEastAsia" w:hAnsiTheme="majorEastAsia" w:eastAsiaTheme="majorEastAsia"/>
          <w:b/>
          <w:kern w:val="0"/>
          <w:szCs w:val="28"/>
        </w:rPr>
        <w:t>在发展模式上，由各种交通方式相对独立发展向更加注重一体化融合发展转变；</w:t>
      </w:r>
    </w:p>
    <w:p>
      <w:pPr>
        <w:spacing w:line="480" w:lineRule="auto"/>
        <w:ind w:firstLine="567"/>
        <w:rPr>
          <w:rFonts w:asciiTheme="majorEastAsia" w:hAnsiTheme="majorEastAsia" w:eastAsiaTheme="majorEastAsia"/>
          <w:b/>
          <w:kern w:val="0"/>
          <w:szCs w:val="28"/>
        </w:rPr>
      </w:pPr>
      <w:r>
        <w:rPr>
          <w:rFonts w:hint="eastAsia" w:asciiTheme="majorEastAsia" w:hAnsiTheme="majorEastAsia" w:eastAsiaTheme="majorEastAsia"/>
          <w:b/>
          <w:kern w:val="0"/>
          <w:szCs w:val="28"/>
        </w:rPr>
        <w:t>在发展动力上，由依靠传统要素驱动向更多依靠改革创新驱动转变；</w:t>
      </w:r>
    </w:p>
    <w:p>
      <w:pPr>
        <w:spacing w:line="480" w:lineRule="auto"/>
        <w:ind w:firstLine="567"/>
        <w:rPr>
          <w:rFonts w:asciiTheme="majorEastAsia" w:hAnsiTheme="majorEastAsia" w:eastAsiaTheme="majorEastAsia"/>
          <w:b/>
          <w:kern w:val="0"/>
          <w:szCs w:val="28"/>
        </w:rPr>
      </w:pPr>
      <w:r>
        <w:rPr>
          <w:rFonts w:hint="eastAsia" w:asciiTheme="majorEastAsia" w:hAnsiTheme="majorEastAsia" w:eastAsiaTheme="majorEastAsia"/>
          <w:b/>
          <w:kern w:val="0"/>
          <w:szCs w:val="28"/>
        </w:rPr>
        <w:t>在发展重点上，由注重建设向建养并重发展转变。</w:t>
      </w:r>
    </w:p>
    <w:p>
      <w:pPr>
        <w:spacing w:line="480" w:lineRule="auto"/>
        <w:ind w:firstLine="567"/>
        <w:rPr>
          <w:rFonts w:asciiTheme="majorEastAsia" w:hAnsiTheme="majorEastAsia" w:eastAsiaTheme="majorEastAsia"/>
          <w:kern w:val="0"/>
          <w:szCs w:val="28"/>
        </w:rPr>
      </w:pPr>
      <w:r>
        <w:rPr>
          <w:rFonts w:asciiTheme="majorEastAsia" w:hAnsiTheme="majorEastAsia" w:eastAsiaTheme="majorEastAsia"/>
          <w:kern w:val="0"/>
          <w:szCs w:val="28"/>
        </w:rPr>
        <w:t>初步研判，“十四五”期</w:t>
      </w:r>
      <w:r>
        <w:rPr>
          <w:rFonts w:hint="eastAsia" w:asciiTheme="majorEastAsia" w:hAnsiTheme="majorEastAsia" w:eastAsiaTheme="majorEastAsia"/>
          <w:kern w:val="0"/>
          <w:szCs w:val="28"/>
        </w:rPr>
        <w:t>六盘水市</w:t>
      </w:r>
      <w:r>
        <w:rPr>
          <w:rFonts w:asciiTheme="majorEastAsia" w:hAnsiTheme="majorEastAsia" w:eastAsiaTheme="majorEastAsia"/>
          <w:kern w:val="0"/>
          <w:szCs w:val="28"/>
        </w:rPr>
        <w:t>交通运输发展将呈现四个方面的显著特征：</w:t>
      </w:r>
    </w:p>
    <w:p>
      <w:pPr>
        <w:spacing w:line="480" w:lineRule="auto"/>
        <w:ind w:firstLine="567"/>
        <w:rPr>
          <w:rFonts w:asciiTheme="majorEastAsia" w:hAnsiTheme="majorEastAsia" w:eastAsiaTheme="majorEastAsia"/>
          <w:kern w:val="0"/>
          <w:szCs w:val="28"/>
        </w:rPr>
      </w:pPr>
      <w:r>
        <w:rPr>
          <w:rFonts w:asciiTheme="majorEastAsia" w:hAnsiTheme="majorEastAsia" w:eastAsiaTheme="majorEastAsia"/>
          <w:b/>
          <w:bCs/>
          <w:kern w:val="0"/>
          <w:szCs w:val="28"/>
        </w:rPr>
        <w:t>一是处于补齐短板、提升效能的冲刺期。</w:t>
      </w:r>
      <w:r>
        <w:rPr>
          <w:rFonts w:asciiTheme="majorEastAsia" w:hAnsiTheme="majorEastAsia" w:eastAsiaTheme="majorEastAsia"/>
          <w:kern w:val="0"/>
          <w:szCs w:val="28"/>
        </w:rPr>
        <w:t>尽管在部分交通领域已经取得了长足的发展，但发展短板仍然存在，总体水平还有待提高。“十四五”期需要进一步加大交通基础设施补短板力度，深入查找薄弱环节，在通道、网络、枢纽、结构等深层次领域上补齐、优化和完善。高速公路服务范围和能力有待加强，公路网“两头强、中间弱”的“中梗阻”问题亟待解决，农村公路对乡村振兴发展战略的支撑能力需要提升。</w:t>
      </w:r>
    </w:p>
    <w:p>
      <w:pPr>
        <w:spacing w:line="480" w:lineRule="auto"/>
        <w:ind w:firstLine="567"/>
        <w:rPr>
          <w:rFonts w:asciiTheme="majorEastAsia" w:hAnsiTheme="majorEastAsia" w:eastAsiaTheme="majorEastAsia"/>
          <w:kern w:val="0"/>
          <w:szCs w:val="28"/>
        </w:rPr>
      </w:pPr>
      <w:r>
        <w:rPr>
          <w:rFonts w:asciiTheme="majorEastAsia" w:hAnsiTheme="majorEastAsia" w:eastAsiaTheme="majorEastAsia"/>
          <w:b/>
          <w:bCs/>
          <w:kern w:val="0"/>
          <w:szCs w:val="28"/>
        </w:rPr>
        <w:t>二是处于注重效益、精准发力的窗口期。</w:t>
      </w:r>
      <w:r>
        <w:rPr>
          <w:rFonts w:asciiTheme="majorEastAsia" w:hAnsiTheme="majorEastAsia" w:eastAsiaTheme="majorEastAsia"/>
          <w:kern w:val="0"/>
          <w:szCs w:val="28"/>
        </w:rPr>
        <w:t>“十四五”期要围绕“高质量发展”这个主题，切实提高交通固定资产投资的效益，改变以往盲目追求扩大投资、拉动经济增长的惯性，而是着眼于提升整体发展水平、增加有效供给，遵循“精准滴灌”的原则，确保投资的精准性和有效性，切实注重财务的可持续性和风险的可控性。</w:t>
      </w:r>
    </w:p>
    <w:p>
      <w:pPr>
        <w:spacing w:line="480" w:lineRule="auto"/>
        <w:ind w:firstLine="567"/>
        <w:rPr>
          <w:rFonts w:asciiTheme="majorEastAsia" w:hAnsiTheme="majorEastAsia" w:eastAsiaTheme="majorEastAsia"/>
          <w:kern w:val="0"/>
          <w:szCs w:val="28"/>
        </w:rPr>
      </w:pPr>
      <w:r>
        <w:rPr>
          <w:rFonts w:asciiTheme="majorEastAsia" w:hAnsiTheme="majorEastAsia" w:eastAsiaTheme="majorEastAsia"/>
          <w:b/>
          <w:bCs/>
          <w:kern w:val="0"/>
          <w:szCs w:val="28"/>
        </w:rPr>
        <w:t>三是处于提升品质、融合发展的机遇期。</w:t>
      </w:r>
      <w:r>
        <w:rPr>
          <w:rFonts w:asciiTheme="majorEastAsia" w:hAnsiTheme="majorEastAsia" w:eastAsiaTheme="majorEastAsia"/>
          <w:kern w:val="0"/>
          <w:szCs w:val="28"/>
        </w:rPr>
        <w:t>要顺应人民群众对美好生活的向往，进一步提升综合交通运输的服务品质，更好地满足人民群众对美好出行新诉求。要把握新一轮技术革命和产业变革的难得机遇，推动</w:t>
      </w:r>
      <w:r>
        <w:rPr>
          <w:rFonts w:hint="eastAsia" w:asciiTheme="majorEastAsia" w:hAnsiTheme="majorEastAsia" w:eastAsiaTheme="majorEastAsia"/>
          <w:kern w:val="0"/>
          <w:szCs w:val="28"/>
        </w:rPr>
        <w:t>六盘水市</w:t>
      </w:r>
      <w:r>
        <w:rPr>
          <w:rFonts w:asciiTheme="majorEastAsia" w:hAnsiTheme="majorEastAsia" w:eastAsiaTheme="majorEastAsia"/>
          <w:kern w:val="0"/>
          <w:szCs w:val="28"/>
        </w:rPr>
        <w:t>“交通+产业”深度融合。例如，积极探索交通与旅游深度融合发展的新模式，为全域旅游发展提供支撑。</w:t>
      </w:r>
    </w:p>
    <w:p>
      <w:pPr>
        <w:ind w:firstLine="562" w:firstLineChars="200"/>
        <w:rPr>
          <w:rFonts w:asciiTheme="majorEastAsia" w:hAnsiTheme="majorEastAsia" w:eastAsiaTheme="majorEastAsia"/>
          <w:szCs w:val="28"/>
        </w:rPr>
      </w:pPr>
      <w:r>
        <w:rPr>
          <w:rFonts w:asciiTheme="majorEastAsia" w:hAnsiTheme="majorEastAsia" w:eastAsiaTheme="majorEastAsia"/>
          <w:b/>
          <w:bCs/>
          <w:kern w:val="0"/>
          <w:szCs w:val="28"/>
        </w:rPr>
        <w:t>四是处于强化衔接、</w:t>
      </w:r>
      <w:r>
        <w:rPr>
          <w:rFonts w:hint="eastAsia" w:asciiTheme="majorEastAsia" w:hAnsiTheme="majorEastAsia" w:eastAsiaTheme="majorEastAsia"/>
          <w:b/>
          <w:bCs/>
          <w:kern w:val="0"/>
          <w:szCs w:val="28"/>
        </w:rPr>
        <w:t>一体化</w:t>
      </w:r>
      <w:r>
        <w:rPr>
          <w:rFonts w:asciiTheme="majorEastAsia" w:hAnsiTheme="majorEastAsia" w:eastAsiaTheme="majorEastAsia"/>
          <w:b/>
          <w:bCs/>
          <w:kern w:val="0"/>
          <w:szCs w:val="28"/>
        </w:rPr>
        <w:t>发展的攻坚期。</w:t>
      </w:r>
      <w:r>
        <w:rPr>
          <w:rFonts w:asciiTheme="majorEastAsia" w:hAnsiTheme="majorEastAsia" w:eastAsiaTheme="majorEastAsia"/>
          <w:kern w:val="0"/>
          <w:szCs w:val="28"/>
        </w:rPr>
        <w:t>提升各种运输方式衔接转化效率、加快运输服务一体化进程是推动交通运输高质量发展和建设交通强国的重要内容。“十四五”期要强化各种交通运输方式的衔接与统筹协调，加强枢纽与集疏运体系建设，切实发挥综合运输体系组合优势和整体效率。</w:t>
      </w:r>
    </w:p>
    <w:p>
      <w:pPr>
        <w:rPr>
          <w:rFonts w:asciiTheme="majorEastAsia" w:hAnsiTheme="majorEastAsia" w:eastAsiaTheme="majorEastAsia"/>
          <w:szCs w:val="28"/>
        </w:rPr>
        <w:sectPr>
          <w:pgSz w:w="11906" w:h="16838"/>
          <w:pgMar w:top="1440" w:right="1800" w:bottom="1440" w:left="1800" w:header="851" w:footer="992" w:gutter="0"/>
          <w:cols w:space="425" w:num="1"/>
          <w:docGrid w:type="lines" w:linePitch="312" w:charSpace="0"/>
        </w:sectPr>
      </w:pPr>
    </w:p>
    <w:p>
      <w:pPr>
        <w:pStyle w:val="2"/>
        <w:rPr>
          <w:rFonts w:asciiTheme="majorEastAsia" w:hAnsiTheme="majorEastAsia" w:eastAsiaTheme="majorEastAsia"/>
        </w:rPr>
      </w:pPr>
      <w:bookmarkStart w:id="523" w:name="_Toc89102181"/>
      <w:bookmarkStart w:id="524" w:name="_Toc51756519"/>
      <w:r>
        <w:rPr>
          <w:rFonts w:asciiTheme="majorEastAsia" w:hAnsiTheme="majorEastAsia" w:eastAsiaTheme="majorEastAsia"/>
        </w:rPr>
        <w:t>第四章 “十四五”期交通运输发展的指导思想和发展目标</w:t>
      </w:r>
      <w:bookmarkEnd w:id="523"/>
      <w:bookmarkEnd w:id="524"/>
    </w:p>
    <w:p>
      <w:pPr>
        <w:pStyle w:val="3"/>
        <w:rPr>
          <w:rFonts w:asciiTheme="majorEastAsia" w:hAnsiTheme="majorEastAsia" w:eastAsiaTheme="majorEastAsia"/>
        </w:rPr>
      </w:pPr>
      <w:bookmarkStart w:id="525" w:name="_Toc51756520"/>
      <w:bookmarkStart w:id="526" w:name="_Toc89102182"/>
      <w:r>
        <w:rPr>
          <w:rFonts w:asciiTheme="majorEastAsia" w:hAnsiTheme="majorEastAsia" w:eastAsiaTheme="majorEastAsia"/>
        </w:rPr>
        <w:t>4.1 指导思想与基本原则</w:t>
      </w:r>
      <w:bookmarkEnd w:id="525"/>
      <w:bookmarkEnd w:id="526"/>
    </w:p>
    <w:p>
      <w:pPr>
        <w:pStyle w:val="4"/>
        <w:rPr>
          <w:rFonts w:asciiTheme="majorEastAsia" w:hAnsiTheme="majorEastAsia" w:eastAsiaTheme="majorEastAsia"/>
        </w:rPr>
      </w:pPr>
      <w:bookmarkStart w:id="527" w:name="_Toc80715964"/>
      <w:bookmarkStart w:id="528" w:name="_Toc78551003"/>
      <w:bookmarkStart w:id="529" w:name="_Toc72513436"/>
      <w:bookmarkStart w:id="530" w:name="_Toc78374974"/>
      <w:bookmarkStart w:id="531" w:name="_Toc76994478"/>
      <w:bookmarkStart w:id="532" w:name="_Toc76994094"/>
      <w:bookmarkStart w:id="533" w:name="_Toc76993401"/>
      <w:bookmarkStart w:id="534" w:name="_Toc76490224"/>
      <w:bookmarkStart w:id="535" w:name="_Toc78813477"/>
      <w:bookmarkStart w:id="536" w:name="_Toc80103514"/>
      <w:bookmarkStart w:id="537" w:name="_Toc79923774"/>
      <w:bookmarkStart w:id="538" w:name="_Toc79048559"/>
      <w:bookmarkStart w:id="539" w:name="_Toc78556423"/>
      <w:bookmarkStart w:id="540" w:name="_Toc72777984"/>
      <w:bookmarkStart w:id="541" w:name="_Toc66179126"/>
      <w:bookmarkStart w:id="542" w:name="_Toc66367415"/>
      <w:bookmarkStart w:id="543" w:name="_Toc66367241"/>
      <w:bookmarkStart w:id="544" w:name="_Toc66367328"/>
      <w:bookmarkStart w:id="545" w:name="_Toc73625960"/>
      <w:bookmarkStart w:id="546" w:name="_Toc56264694"/>
      <w:bookmarkStart w:id="547" w:name="_Toc66367610"/>
      <w:bookmarkStart w:id="548" w:name="_Toc75518133"/>
      <w:bookmarkStart w:id="549" w:name="_Toc63601000"/>
      <w:bookmarkStart w:id="550" w:name="_Toc58318739"/>
      <w:bookmarkStart w:id="551" w:name="_Toc81406388"/>
      <w:bookmarkStart w:id="552" w:name="_Toc82161459"/>
      <w:bookmarkStart w:id="553" w:name="_Toc89102183"/>
      <w:r>
        <w:rPr>
          <w:rFonts w:asciiTheme="majorEastAsia" w:hAnsiTheme="majorEastAsia" w:eastAsiaTheme="majorEastAsia"/>
        </w:rPr>
        <w:t>4.1.1指导思想</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pPr>
        <w:ind w:firstLine="560" w:firstLineChars="200"/>
        <w:rPr>
          <w:rFonts w:asciiTheme="majorEastAsia" w:hAnsiTheme="majorEastAsia" w:eastAsiaTheme="majorEastAsia"/>
          <w:szCs w:val="28"/>
        </w:rPr>
      </w:pPr>
      <w:r>
        <w:rPr>
          <w:rFonts w:asciiTheme="majorEastAsia" w:hAnsiTheme="majorEastAsia" w:eastAsiaTheme="majorEastAsia"/>
          <w:szCs w:val="28"/>
        </w:rPr>
        <w:t>以习近平新时代中国特色社会主义思想为指导，全面贯彻党的十九大和十九届二中、三中、</w:t>
      </w:r>
      <w:r>
        <w:rPr>
          <w:rFonts w:asciiTheme="majorEastAsia" w:hAnsiTheme="majorEastAsia" w:eastAsiaTheme="majorEastAsia"/>
          <w:kern w:val="0"/>
          <w:szCs w:val="28"/>
        </w:rPr>
        <w:t>四中</w:t>
      </w:r>
      <w:r>
        <w:rPr>
          <w:rFonts w:hint="eastAsia" w:asciiTheme="majorEastAsia" w:hAnsiTheme="majorEastAsia" w:eastAsiaTheme="majorEastAsia"/>
          <w:kern w:val="0"/>
          <w:szCs w:val="28"/>
        </w:rPr>
        <w:t>、五中</w:t>
      </w:r>
      <w:r>
        <w:rPr>
          <w:rFonts w:asciiTheme="majorEastAsia" w:hAnsiTheme="majorEastAsia" w:eastAsiaTheme="majorEastAsia"/>
          <w:szCs w:val="28"/>
        </w:rPr>
        <w:t>全会精神</w:t>
      </w:r>
      <w:r>
        <w:rPr>
          <w:rFonts w:hint="eastAsia" w:asciiTheme="majorEastAsia" w:hAnsiTheme="majorEastAsia" w:eastAsiaTheme="majorEastAsia"/>
          <w:szCs w:val="28"/>
        </w:rPr>
        <w:t>及习近平总书记对贵州工作重要指示精神、党中央，国务院关于新时代推进西部大开发形成新格局决策部署</w:t>
      </w:r>
      <w:r>
        <w:rPr>
          <w:rFonts w:asciiTheme="majorEastAsia" w:hAnsiTheme="majorEastAsia" w:eastAsiaTheme="majorEastAsia"/>
          <w:szCs w:val="28"/>
        </w:rPr>
        <w:t>以及贵州省委十二届系列会议精神，统筹推进“五位一体”总体布局，协调推进“四个全面”战略布局，坚持稳中求进总基调，坚持以人民为中心的发展思想，</w:t>
      </w:r>
      <w:r>
        <w:rPr>
          <w:rFonts w:hint="eastAsia" w:asciiTheme="majorEastAsia" w:hAnsiTheme="majorEastAsia" w:eastAsiaTheme="majorEastAsia"/>
          <w:szCs w:val="28"/>
        </w:rPr>
        <w:t>坚定不移贯彻新发展理念，紧抓交通强国建设和西部陆海新通道重大战略机遇，展望二〇三五年基本实现社会主义现代化和基本建成交通强国战略前景</w:t>
      </w:r>
      <w:r>
        <w:rPr>
          <w:rFonts w:asciiTheme="majorEastAsia" w:hAnsiTheme="majorEastAsia" w:eastAsiaTheme="majorEastAsia"/>
          <w:szCs w:val="28"/>
        </w:rPr>
        <w:t>，</w:t>
      </w:r>
      <w:r>
        <w:rPr>
          <w:rFonts w:hint="eastAsia" w:asciiTheme="majorEastAsia" w:hAnsiTheme="majorEastAsia" w:eastAsiaTheme="majorEastAsia"/>
          <w:szCs w:val="28"/>
        </w:rPr>
        <w:t>以交通强国建设为统领，紧扣六盘水市交通运输发展的阶段性特征，围绕建设“幸福六盘水”这一愿景和推动转型升级、促进高质量发展、提升区域竞争力三大目标，科学客观、实事求是，着力补齐短板，增强有效供给，优化基础设施网络，提升运输服务效率和品质，加快建设现代流通体系，为加快建设交通强国提供坚实保障</w:t>
      </w:r>
      <w:r>
        <w:rPr>
          <w:rFonts w:asciiTheme="majorEastAsia" w:hAnsiTheme="majorEastAsia" w:eastAsiaTheme="majorEastAsia"/>
          <w:szCs w:val="28"/>
        </w:rPr>
        <w:t>，</w:t>
      </w:r>
      <w:r>
        <w:rPr>
          <w:rFonts w:hint="eastAsia" w:asciiTheme="majorEastAsia" w:hAnsiTheme="majorEastAsia" w:eastAsiaTheme="majorEastAsia"/>
          <w:szCs w:val="28"/>
        </w:rPr>
        <w:t>为新型工业化、新型城镇化、农业现代化、旅游产业化提供支撑当好先行，为开创百姓富生态美的多彩凉都新未来当好先行。</w:t>
      </w:r>
    </w:p>
    <w:p>
      <w:pPr>
        <w:pStyle w:val="4"/>
        <w:rPr>
          <w:rFonts w:asciiTheme="majorEastAsia" w:hAnsiTheme="majorEastAsia" w:eastAsiaTheme="majorEastAsia"/>
        </w:rPr>
      </w:pPr>
      <w:bookmarkStart w:id="554" w:name="_Toc89102184"/>
      <w:bookmarkStart w:id="555" w:name="_Toc66179127"/>
      <w:bookmarkStart w:id="556" w:name="_Toc56264695"/>
      <w:bookmarkStart w:id="557" w:name="_Toc66367329"/>
      <w:bookmarkStart w:id="558" w:name="_Toc66367242"/>
      <w:bookmarkStart w:id="559" w:name="_Toc66367611"/>
      <w:bookmarkStart w:id="560" w:name="_Toc72513437"/>
      <w:bookmarkStart w:id="561" w:name="_Toc63601001"/>
      <w:bookmarkStart w:id="562" w:name="_Toc66367416"/>
      <w:bookmarkStart w:id="563" w:name="_Toc58318740"/>
      <w:bookmarkStart w:id="564" w:name="_Toc72777985"/>
      <w:bookmarkStart w:id="565" w:name="_Toc73625961"/>
      <w:bookmarkStart w:id="566" w:name="_Toc75518134"/>
      <w:bookmarkStart w:id="567" w:name="_Toc76490225"/>
      <w:bookmarkStart w:id="568" w:name="_Toc76993402"/>
      <w:bookmarkStart w:id="569" w:name="_Toc76994095"/>
      <w:bookmarkStart w:id="570" w:name="_Toc76994479"/>
      <w:bookmarkStart w:id="571" w:name="_Toc78374975"/>
      <w:bookmarkStart w:id="572" w:name="_Toc78551004"/>
      <w:bookmarkStart w:id="573" w:name="_Toc78556424"/>
      <w:bookmarkStart w:id="574" w:name="_Toc78813478"/>
      <w:bookmarkStart w:id="575" w:name="_Toc79048560"/>
      <w:bookmarkStart w:id="576" w:name="_Toc79923775"/>
      <w:bookmarkStart w:id="577" w:name="_Toc80103515"/>
      <w:bookmarkStart w:id="578" w:name="_Toc80715965"/>
      <w:bookmarkStart w:id="579" w:name="_Toc81406389"/>
      <w:bookmarkStart w:id="580" w:name="_Toc82161460"/>
      <w:r>
        <w:rPr>
          <w:rFonts w:asciiTheme="majorEastAsia" w:hAnsiTheme="majorEastAsia" w:eastAsiaTheme="majorEastAsia"/>
        </w:rPr>
        <w:t>4.1.2基本原则</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pPr>
        <w:ind w:firstLine="562" w:firstLineChars="200"/>
        <w:rPr>
          <w:rFonts w:asciiTheme="majorEastAsia" w:hAnsiTheme="majorEastAsia" w:eastAsiaTheme="majorEastAsia"/>
          <w:szCs w:val="28"/>
        </w:rPr>
      </w:pPr>
      <w:r>
        <w:rPr>
          <w:rFonts w:asciiTheme="majorEastAsia" w:hAnsiTheme="majorEastAsia" w:eastAsiaTheme="majorEastAsia"/>
          <w:b/>
          <w:bCs/>
          <w:szCs w:val="28"/>
        </w:rPr>
        <w:t>紧扣主题、服务大局。</w:t>
      </w:r>
      <w:r>
        <w:rPr>
          <w:rFonts w:asciiTheme="majorEastAsia" w:hAnsiTheme="majorEastAsia" w:eastAsiaTheme="majorEastAsia"/>
          <w:szCs w:val="28"/>
        </w:rPr>
        <w:t>充分体现交通运输服务国家重大战略中当好先行的重要作用。注重发挥好交通运输在全省国土开发、生产力布局、产业结构调整和乡村振兴等战略实施中的基础性、先导性作用，为开创百姓富、生态美的</w:t>
      </w:r>
      <w:r>
        <w:rPr>
          <w:rFonts w:hint="eastAsia" w:asciiTheme="majorEastAsia" w:hAnsiTheme="majorEastAsia" w:eastAsiaTheme="majorEastAsia"/>
          <w:szCs w:val="28"/>
        </w:rPr>
        <w:t>六盘水市</w:t>
      </w:r>
      <w:r>
        <w:rPr>
          <w:rFonts w:asciiTheme="majorEastAsia" w:hAnsiTheme="majorEastAsia" w:eastAsiaTheme="majorEastAsia"/>
          <w:szCs w:val="28"/>
        </w:rPr>
        <w:t>新未来当好先行。</w:t>
      </w:r>
    </w:p>
    <w:p>
      <w:pPr>
        <w:ind w:firstLine="562" w:firstLineChars="200"/>
        <w:rPr>
          <w:rFonts w:asciiTheme="majorEastAsia" w:hAnsiTheme="majorEastAsia" w:eastAsiaTheme="majorEastAsia"/>
          <w:szCs w:val="28"/>
        </w:rPr>
      </w:pPr>
      <w:r>
        <w:rPr>
          <w:rFonts w:asciiTheme="majorEastAsia" w:hAnsiTheme="majorEastAsia" w:eastAsiaTheme="majorEastAsia"/>
          <w:b/>
          <w:bCs/>
          <w:szCs w:val="28"/>
        </w:rPr>
        <w:t>问题导向、契合需求。</w:t>
      </w:r>
      <w:r>
        <w:rPr>
          <w:rFonts w:asciiTheme="majorEastAsia" w:hAnsiTheme="majorEastAsia" w:eastAsiaTheme="majorEastAsia"/>
          <w:szCs w:val="28"/>
        </w:rPr>
        <w:t>从自身发展实际出发，抓准短板、紧扣需求、着力补短板、强弱项。坚持实事求是的原则，对于确有建设需求的，即使目前缺少政策支持也要创造条件、争取政策来实施，对于不契合当前阶段发展需求的，即使国家有一定的支持政策，也需慎重决策，不盲目冒进。</w:t>
      </w:r>
    </w:p>
    <w:p>
      <w:pPr>
        <w:ind w:firstLine="562" w:firstLineChars="200"/>
        <w:rPr>
          <w:rFonts w:asciiTheme="majorEastAsia" w:hAnsiTheme="majorEastAsia" w:eastAsiaTheme="majorEastAsia"/>
          <w:szCs w:val="28"/>
        </w:rPr>
      </w:pPr>
      <w:r>
        <w:rPr>
          <w:rFonts w:asciiTheme="majorEastAsia" w:hAnsiTheme="majorEastAsia" w:eastAsiaTheme="majorEastAsia"/>
          <w:b/>
          <w:bCs/>
          <w:szCs w:val="28"/>
        </w:rPr>
        <w:t>用好政策、化解风险。</w:t>
      </w:r>
      <w:r>
        <w:rPr>
          <w:rFonts w:asciiTheme="majorEastAsia" w:hAnsiTheme="majorEastAsia" w:eastAsiaTheme="majorEastAsia"/>
          <w:szCs w:val="28"/>
        </w:rPr>
        <w:t>认真跟踪政策、抢抓政策、用好用足政策。严格落实国家关于防控债务风险的要求，充分梳理交通建设项目的实施条件，审慎安排投资规模过大、财政配套能力偏弱的项目，做好资金、土地、环保等各方面的可行性论证，确保纳入规划的交通建设项目可落地、可实施。</w:t>
      </w:r>
    </w:p>
    <w:p>
      <w:pPr>
        <w:ind w:firstLine="562" w:firstLineChars="200"/>
        <w:rPr>
          <w:rFonts w:asciiTheme="majorEastAsia" w:hAnsiTheme="majorEastAsia" w:eastAsiaTheme="majorEastAsia"/>
          <w:szCs w:val="28"/>
        </w:rPr>
      </w:pPr>
      <w:r>
        <w:rPr>
          <w:rFonts w:asciiTheme="majorEastAsia" w:hAnsiTheme="majorEastAsia" w:eastAsiaTheme="majorEastAsia"/>
          <w:b/>
          <w:bCs/>
          <w:szCs w:val="28"/>
        </w:rPr>
        <w:t>试点引领、突出亮点。</w:t>
      </w:r>
      <w:r>
        <w:rPr>
          <w:rFonts w:asciiTheme="majorEastAsia" w:hAnsiTheme="majorEastAsia" w:eastAsiaTheme="majorEastAsia"/>
          <w:szCs w:val="28"/>
        </w:rPr>
        <w:t>结合交通运输部推进交通强国试点示范工作，准确把握</w:t>
      </w:r>
      <w:r>
        <w:rPr>
          <w:rFonts w:hint="eastAsia" w:asciiTheme="majorEastAsia" w:hAnsiTheme="majorEastAsia" w:eastAsiaTheme="majorEastAsia"/>
          <w:szCs w:val="28"/>
        </w:rPr>
        <w:t>六盘水市</w:t>
      </w:r>
      <w:r>
        <w:rPr>
          <w:rFonts w:asciiTheme="majorEastAsia" w:hAnsiTheme="majorEastAsia" w:eastAsiaTheme="majorEastAsia"/>
          <w:szCs w:val="28"/>
        </w:rPr>
        <w:t>交通运输需求增长较快、大数据产业发展迅速、旅游资源丰富独特等特征，力争在综合交通枢纽建设、智慧交通建设、交旅融合发展等关键环节上开展试点、形成亮点，为交通强国建设贡献</w:t>
      </w:r>
      <w:r>
        <w:rPr>
          <w:rFonts w:hint="eastAsia" w:asciiTheme="majorEastAsia" w:hAnsiTheme="majorEastAsia" w:eastAsiaTheme="majorEastAsia"/>
          <w:szCs w:val="28"/>
        </w:rPr>
        <w:t>六盘水市</w:t>
      </w:r>
      <w:r>
        <w:rPr>
          <w:rFonts w:asciiTheme="majorEastAsia" w:hAnsiTheme="majorEastAsia" w:eastAsiaTheme="majorEastAsia"/>
          <w:szCs w:val="28"/>
        </w:rPr>
        <w:t>经验。</w:t>
      </w:r>
    </w:p>
    <w:p>
      <w:pPr>
        <w:pStyle w:val="4"/>
        <w:rPr>
          <w:rFonts w:asciiTheme="majorEastAsia" w:hAnsiTheme="majorEastAsia" w:eastAsiaTheme="majorEastAsia"/>
        </w:rPr>
      </w:pPr>
      <w:bookmarkStart w:id="581" w:name="_Toc58318741"/>
      <w:bookmarkStart w:id="582" w:name="_Toc66179128"/>
      <w:bookmarkStart w:id="583" w:name="_Toc66367243"/>
      <w:bookmarkStart w:id="584" w:name="_Toc66367330"/>
      <w:bookmarkStart w:id="585" w:name="_Toc66367417"/>
      <w:bookmarkStart w:id="586" w:name="_Toc56264696"/>
      <w:bookmarkStart w:id="587" w:name="_Toc63601002"/>
      <w:bookmarkStart w:id="588" w:name="_Toc66367612"/>
      <w:bookmarkStart w:id="589" w:name="_Toc72513438"/>
      <w:bookmarkStart w:id="590" w:name="_Toc72777986"/>
      <w:bookmarkStart w:id="591" w:name="_Toc73625962"/>
      <w:bookmarkStart w:id="592" w:name="_Toc75518135"/>
      <w:bookmarkStart w:id="593" w:name="_Toc76490226"/>
      <w:bookmarkStart w:id="594" w:name="_Toc76993403"/>
      <w:bookmarkStart w:id="595" w:name="_Toc76994096"/>
      <w:bookmarkStart w:id="596" w:name="_Toc76994480"/>
      <w:bookmarkStart w:id="597" w:name="_Toc78374976"/>
      <w:bookmarkStart w:id="598" w:name="_Toc78551005"/>
      <w:bookmarkStart w:id="599" w:name="_Toc78556425"/>
      <w:bookmarkStart w:id="600" w:name="_Toc78813479"/>
      <w:bookmarkStart w:id="601" w:name="_Toc79048561"/>
      <w:bookmarkStart w:id="602" w:name="_Toc79923776"/>
      <w:bookmarkStart w:id="603" w:name="_Toc80103516"/>
      <w:bookmarkStart w:id="604" w:name="_Toc80715966"/>
      <w:bookmarkStart w:id="605" w:name="_Toc81406390"/>
      <w:bookmarkStart w:id="606" w:name="_Toc82161461"/>
      <w:bookmarkStart w:id="607" w:name="_Toc89102185"/>
      <w:r>
        <w:rPr>
          <w:rFonts w:asciiTheme="majorEastAsia" w:hAnsiTheme="majorEastAsia" w:eastAsiaTheme="majorEastAsia"/>
        </w:rPr>
        <w:t>4.1.</w:t>
      </w:r>
      <w:r>
        <w:rPr>
          <w:rFonts w:hint="eastAsia" w:asciiTheme="majorEastAsia" w:hAnsiTheme="majorEastAsia" w:eastAsiaTheme="majorEastAsia"/>
        </w:rPr>
        <w:t>3发展思路</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pPr>
        <w:ind w:firstLine="560" w:firstLineChars="200"/>
        <w:rPr>
          <w:rFonts w:asciiTheme="majorEastAsia" w:hAnsiTheme="majorEastAsia" w:eastAsiaTheme="majorEastAsia"/>
          <w:bCs/>
          <w:szCs w:val="28"/>
        </w:rPr>
      </w:pPr>
      <w:r>
        <w:rPr>
          <w:rFonts w:hint="eastAsia" w:asciiTheme="majorEastAsia" w:hAnsiTheme="majorEastAsia" w:eastAsiaTheme="majorEastAsia"/>
          <w:bCs/>
          <w:szCs w:val="28"/>
        </w:rPr>
        <w:t>抓住交通强国建设机遇，结合国家综合立体交通网规划纲要，按照省委“一二三四”总体思路，围绕市委七届十二次全会提出的“以高质量发展统揽全局，牢牢守好发展和生态两条底线，深入实施乡村振兴、大数据、大生态三大战略行动，大力推进新型工业化、新型城镇化、农业现代化、旅游产业化，着力打造转型升级新样板、厚植区域竞争新优势、构筑对外开放新高地、提升市域治理新效能、开启幸福六盘水新生活”的“一二三四五”总体思路，“十四五”期六盘水市交通运输发展要立足阶段性特征，坚持“四轮驱动”,坚持交通运输优先发展理念，以“运输服务质量优先、行业发展技术引领、综合交通治理现代化”为战略路径，以百亿级工业园区、重点城镇、500亩以上坝区、3A级及以上景区为重点，做到“四个轮子”转向哪里，道路交通铺到哪里，遵循发展规律，重点体现以下发展思路：</w:t>
      </w:r>
    </w:p>
    <w:p>
      <w:pPr>
        <w:ind w:firstLine="562" w:firstLineChars="200"/>
        <w:rPr>
          <w:rFonts w:asciiTheme="majorEastAsia" w:hAnsiTheme="majorEastAsia" w:eastAsiaTheme="majorEastAsia"/>
          <w:bCs/>
          <w:szCs w:val="28"/>
        </w:rPr>
      </w:pPr>
      <w:r>
        <w:rPr>
          <w:rFonts w:hint="eastAsia" w:asciiTheme="majorEastAsia" w:hAnsiTheme="majorEastAsia" w:eastAsiaTheme="majorEastAsia"/>
          <w:b/>
          <w:bCs/>
          <w:szCs w:val="28"/>
        </w:rPr>
        <w:t>一是补短板。</w:t>
      </w:r>
      <w:r>
        <w:rPr>
          <w:rFonts w:hint="eastAsia" w:asciiTheme="majorEastAsia" w:hAnsiTheme="majorEastAsia" w:eastAsiaTheme="majorEastAsia"/>
          <w:bCs/>
          <w:szCs w:val="28"/>
        </w:rPr>
        <w:t>坚持问题导向，对于普通国省干线技术等级偏低、立体衔接的综合性交通枢纽少、农村公路重建轻养、出租车服务水平不高、运输信息化建设滞后等六盘水交通运输发展中存在的突出短板和薄弱环节，继续强化基础设施网络供给能力，着力补齐发展短板，发挥基础设施网络的整体效能和网络效益。</w:t>
      </w:r>
    </w:p>
    <w:p>
      <w:pPr>
        <w:ind w:firstLine="562" w:firstLineChars="200"/>
        <w:rPr>
          <w:rFonts w:asciiTheme="majorEastAsia" w:hAnsiTheme="majorEastAsia" w:eastAsiaTheme="majorEastAsia"/>
          <w:bCs/>
          <w:szCs w:val="28"/>
        </w:rPr>
      </w:pPr>
      <w:r>
        <w:rPr>
          <w:rFonts w:hint="eastAsia" w:asciiTheme="majorEastAsia" w:hAnsiTheme="majorEastAsia" w:eastAsiaTheme="majorEastAsia"/>
          <w:b/>
          <w:bCs/>
          <w:szCs w:val="28"/>
        </w:rPr>
        <w:t>二是提品质。</w:t>
      </w:r>
      <w:r>
        <w:rPr>
          <w:rFonts w:hint="eastAsia" w:asciiTheme="majorEastAsia" w:hAnsiTheme="majorEastAsia" w:eastAsiaTheme="majorEastAsia"/>
          <w:bCs/>
          <w:szCs w:val="28"/>
        </w:rPr>
        <w:t>落实高质量发展要求，构建优质高效的客运体系和高效专业的物流服务体系，强化科技、智慧对交通运输的引领支撑作用，全面提升客货运输服务效率和品质，推动交通运输服务从“有没有”向“好不好”转变，从高投入、高速度向高质量、高效益转变，不断提高交通运输服务品质。</w:t>
      </w:r>
    </w:p>
    <w:p>
      <w:pPr>
        <w:ind w:firstLine="562" w:firstLineChars="200"/>
        <w:rPr>
          <w:rFonts w:asciiTheme="majorEastAsia" w:hAnsiTheme="majorEastAsia" w:eastAsiaTheme="majorEastAsia"/>
          <w:szCs w:val="28"/>
        </w:rPr>
      </w:pPr>
      <w:r>
        <w:rPr>
          <w:rFonts w:hint="eastAsia" w:asciiTheme="majorEastAsia" w:hAnsiTheme="majorEastAsia" w:eastAsiaTheme="majorEastAsia"/>
          <w:b/>
          <w:bCs/>
          <w:szCs w:val="28"/>
        </w:rPr>
        <w:t>三是促融合。</w:t>
      </w:r>
      <w:r>
        <w:rPr>
          <w:rFonts w:hint="eastAsia" w:asciiTheme="majorEastAsia" w:hAnsiTheme="majorEastAsia" w:eastAsiaTheme="majorEastAsia"/>
          <w:bCs/>
          <w:szCs w:val="28"/>
        </w:rPr>
        <w:t>加强多种运输方式紧密衔接的综合客运枢纽建设，提升综合客运一体化水平，完善枢纽集疏运体系，大力发展旅客联程运输和货物多式联运，推动各种运输方式一体化融合发展</w:t>
      </w:r>
      <w:r>
        <w:rPr>
          <w:rFonts w:hint="eastAsia" w:asciiTheme="majorEastAsia" w:hAnsiTheme="majorEastAsia" w:eastAsiaTheme="majorEastAsia"/>
          <w:szCs w:val="28"/>
        </w:rPr>
        <w:t>。</w:t>
      </w:r>
    </w:p>
    <w:p>
      <w:pPr>
        <w:ind w:firstLine="562" w:firstLineChars="200"/>
        <w:rPr>
          <w:rFonts w:asciiTheme="majorEastAsia" w:hAnsiTheme="majorEastAsia" w:eastAsiaTheme="majorEastAsia"/>
          <w:szCs w:val="28"/>
        </w:rPr>
      </w:pPr>
      <w:r>
        <w:rPr>
          <w:rFonts w:hint="eastAsia" w:asciiTheme="majorEastAsia" w:hAnsiTheme="majorEastAsia" w:eastAsiaTheme="majorEastAsia"/>
          <w:b/>
          <w:szCs w:val="28"/>
        </w:rPr>
        <w:t>四是强服务。</w:t>
      </w:r>
      <w:r>
        <w:rPr>
          <w:rFonts w:hint="eastAsia" w:asciiTheme="majorEastAsia" w:hAnsiTheme="majorEastAsia" w:eastAsiaTheme="majorEastAsia"/>
          <w:szCs w:val="28"/>
        </w:rPr>
        <w:t>满足城际多区间、多时段、多层次出行需求，推进交通运输行业治理体系和治理能力现代化，为加快建设交通强国提供坚强制度保障。</w:t>
      </w:r>
    </w:p>
    <w:p>
      <w:pPr>
        <w:ind w:firstLine="562" w:firstLineChars="200"/>
        <w:rPr>
          <w:rFonts w:asciiTheme="majorEastAsia" w:hAnsiTheme="majorEastAsia" w:eastAsiaTheme="majorEastAsia"/>
          <w:szCs w:val="28"/>
        </w:rPr>
      </w:pPr>
      <w:r>
        <w:rPr>
          <w:rFonts w:hint="eastAsia" w:asciiTheme="majorEastAsia" w:hAnsiTheme="majorEastAsia" w:eastAsiaTheme="majorEastAsia"/>
          <w:b/>
          <w:szCs w:val="28"/>
        </w:rPr>
        <w:t>五是保安全。</w:t>
      </w:r>
      <w:r>
        <w:rPr>
          <w:rFonts w:hint="eastAsia" w:asciiTheme="majorEastAsia" w:hAnsiTheme="majorEastAsia" w:eastAsiaTheme="majorEastAsia"/>
          <w:szCs w:val="28"/>
        </w:rPr>
        <w:t>不断完善交通运输安全生产体系，不断强化应急保障与救援保障能力，更好地为人民群众生命财产保驾护航。</w:t>
      </w:r>
    </w:p>
    <w:p>
      <w:pPr>
        <w:pStyle w:val="3"/>
        <w:rPr>
          <w:rFonts w:asciiTheme="majorEastAsia" w:hAnsiTheme="majorEastAsia" w:eastAsiaTheme="majorEastAsia"/>
        </w:rPr>
      </w:pPr>
      <w:bookmarkStart w:id="608" w:name="_Toc51756521"/>
      <w:bookmarkStart w:id="609" w:name="_Toc89102186"/>
      <w:r>
        <w:rPr>
          <w:rFonts w:asciiTheme="majorEastAsia" w:hAnsiTheme="majorEastAsia" w:eastAsiaTheme="majorEastAsia"/>
        </w:rPr>
        <w:t>4.2 发展目标</w:t>
      </w:r>
      <w:bookmarkEnd w:id="608"/>
      <w:bookmarkEnd w:id="609"/>
    </w:p>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谋划推进“十四五”交通运输工作，既要答好“交通枢纽区位优势转化为经济优势”必答题，又要答好“需求牵引供给、供给创造需求”思考题，从需求和供给两端发力，切实把六盘水市交通枢纽区位优势激发出来，形成六盘水经济发展新的增长点、增长带。提升交通服务支撑全市新型工业化、新型城镇化、农业现代化、旅游产业化能力，着力构建快捷高效的交通运输保障体系，服务“四个轮子一起转”。同时巩固拓展疫情防控、脱贫攻坚和交通运输发展成果，确保“十四五”开好局、起好步，为开创百姓富生态美的多彩凉都新未来当好先行。</w:t>
      </w:r>
    </w:p>
    <w:p>
      <w:pPr>
        <w:pStyle w:val="4"/>
        <w:rPr>
          <w:rFonts w:asciiTheme="majorEastAsia" w:hAnsiTheme="majorEastAsia" w:eastAsiaTheme="majorEastAsia"/>
        </w:rPr>
      </w:pPr>
      <w:bookmarkStart w:id="610" w:name="_Toc66367332"/>
      <w:bookmarkStart w:id="611" w:name="_Toc56264698"/>
      <w:bookmarkStart w:id="612" w:name="_Toc58318743"/>
      <w:bookmarkStart w:id="613" w:name="_Toc63601004"/>
      <w:bookmarkStart w:id="614" w:name="_Toc66179130"/>
      <w:bookmarkStart w:id="615" w:name="_Toc66367245"/>
      <w:bookmarkStart w:id="616" w:name="_Toc66367419"/>
      <w:bookmarkStart w:id="617" w:name="_Toc66367614"/>
      <w:bookmarkStart w:id="618" w:name="_Toc72513440"/>
      <w:bookmarkStart w:id="619" w:name="_Toc72777988"/>
      <w:bookmarkStart w:id="620" w:name="_Toc73625964"/>
      <w:bookmarkStart w:id="621" w:name="_Toc75518137"/>
      <w:bookmarkStart w:id="622" w:name="_Toc76490228"/>
      <w:bookmarkStart w:id="623" w:name="_Toc76993405"/>
      <w:bookmarkStart w:id="624" w:name="_Toc76994098"/>
      <w:bookmarkStart w:id="625" w:name="_Toc76994482"/>
      <w:bookmarkStart w:id="626" w:name="_Toc78374978"/>
      <w:bookmarkStart w:id="627" w:name="_Toc78551007"/>
      <w:bookmarkStart w:id="628" w:name="_Toc78556427"/>
      <w:bookmarkStart w:id="629" w:name="_Toc78813481"/>
      <w:bookmarkStart w:id="630" w:name="_Toc79048563"/>
      <w:bookmarkStart w:id="631" w:name="_Toc79923778"/>
      <w:bookmarkStart w:id="632" w:name="_Toc80103518"/>
      <w:bookmarkStart w:id="633" w:name="_Toc80715968"/>
      <w:bookmarkStart w:id="634" w:name="_Toc81406392"/>
      <w:bookmarkStart w:id="635" w:name="_Toc82161463"/>
      <w:bookmarkStart w:id="636" w:name="_Toc89102187"/>
      <w:r>
        <w:rPr>
          <w:rFonts w:asciiTheme="majorEastAsia" w:hAnsiTheme="majorEastAsia" w:eastAsiaTheme="majorEastAsia"/>
        </w:rPr>
        <w:t>4.2.1总体目标</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pPr>
        <w:ind w:firstLine="567"/>
        <w:rPr>
          <w:rFonts w:asciiTheme="majorEastAsia" w:hAnsiTheme="majorEastAsia" w:eastAsiaTheme="majorEastAsia"/>
          <w:szCs w:val="28"/>
        </w:rPr>
      </w:pPr>
      <w:r>
        <w:rPr>
          <w:rFonts w:hint="eastAsia" w:asciiTheme="majorEastAsia" w:hAnsiTheme="majorEastAsia" w:eastAsiaTheme="majorEastAsia"/>
          <w:szCs w:val="28"/>
        </w:rPr>
        <w:t>紧紧围绕高质量发展要求，综合考虑面临的发展趋势和条件，坚持目标导向和问题导向相结合，坚持守正和创新相统一，预计到2025年，努力实现“五新”发展总目标。</w:t>
      </w:r>
    </w:p>
    <w:p>
      <w:pPr>
        <w:ind w:firstLine="562" w:firstLineChars="200"/>
        <w:rPr>
          <w:szCs w:val="28"/>
        </w:rPr>
      </w:pPr>
      <w:r>
        <w:rPr>
          <w:rFonts w:hint="eastAsia"/>
          <w:b/>
          <w:szCs w:val="28"/>
        </w:rPr>
        <w:t>——交通强国建设迈出新步伐。</w:t>
      </w:r>
      <w:r>
        <w:rPr>
          <w:rFonts w:hint="eastAsia"/>
          <w:szCs w:val="28"/>
        </w:rPr>
        <w:t>高质量完成“四好农村路”的交通强国试点任务，形成高水平技术导则、政策指南和具有六盘水特色、可复制可推广的经验。</w:t>
      </w:r>
    </w:p>
    <w:p>
      <w:pPr>
        <w:ind w:firstLine="562" w:firstLineChars="200"/>
        <w:rPr>
          <w:szCs w:val="28"/>
        </w:rPr>
      </w:pPr>
      <w:r>
        <w:rPr>
          <w:rFonts w:hint="eastAsia"/>
          <w:b/>
          <w:szCs w:val="28"/>
        </w:rPr>
        <w:t>——综合交通发展达到新水平。</w:t>
      </w:r>
      <w:r>
        <w:rPr>
          <w:rFonts w:hint="eastAsia"/>
          <w:szCs w:val="28"/>
        </w:rPr>
        <w:t>公、铁、水、航等运输网络融合发展，基本形成布局合理、能力充分、衔接顺畅、绿色智能的综合交通运输网。综合运输大通道和综合交通枢纽建设加快推进，服务支撑六盘水产业转型和乡村振兴战略，全面巩固脱贫攻坚成果，有力支撑六盘水经济社会发展。</w:t>
      </w:r>
    </w:p>
    <w:p>
      <w:pPr>
        <w:ind w:firstLine="562" w:firstLineChars="200"/>
        <w:rPr>
          <w:szCs w:val="28"/>
        </w:rPr>
      </w:pPr>
      <w:r>
        <w:rPr>
          <w:rFonts w:hint="eastAsia"/>
          <w:b/>
          <w:szCs w:val="28"/>
        </w:rPr>
        <w:t>——运输服务能力得到新提升。</w:t>
      </w:r>
      <w:r>
        <w:rPr>
          <w:rFonts w:hint="eastAsia"/>
          <w:szCs w:val="28"/>
        </w:rPr>
        <w:t>综合客运枢纽和物流园区建设加快推进，多式联运、甩挂运输、冷链物流加快推广。中心城区客货运枢纽功能加快提升，县级节点地区物流枢纽功能不断完善，枢纽经济实现高质量发展，支撑西部陆海新通道建设。</w:t>
      </w:r>
    </w:p>
    <w:p>
      <w:pPr>
        <w:ind w:firstLine="562" w:firstLineChars="200"/>
        <w:rPr>
          <w:szCs w:val="28"/>
        </w:rPr>
      </w:pPr>
      <w:r>
        <w:rPr>
          <w:rFonts w:hint="eastAsia"/>
          <w:b/>
          <w:szCs w:val="28"/>
        </w:rPr>
        <w:t>——行业高质量发展取得新成效。</w:t>
      </w:r>
      <w:r>
        <w:rPr>
          <w:rFonts w:hint="eastAsia"/>
          <w:szCs w:val="28"/>
        </w:rPr>
        <w:t>科技创新、绿色安全水平和应急保障能力显著提高。协同高效的现代化治理体系加快构建，“放管服”、交通综合执法、出租车行业等改革扎实推进，建立健全人才培养及使用机制加快完善。</w:t>
      </w:r>
    </w:p>
    <w:p>
      <w:pPr>
        <w:ind w:firstLine="567"/>
        <w:rPr>
          <w:rFonts w:asciiTheme="majorEastAsia" w:hAnsiTheme="majorEastAsia" w:eastAsiaTheme="majorEastAsia"/>
          <w:szCs w:val="28"/>
        </w:rPr>
      </w:pPr>
      <w:r>
        <w:rPr>
          <w:rFonts w:hint="eastAsia"/>
          <w:b/>
          <w:szCs w:val="28"/>
        </w:rPr>
        <w:t>——交旅融合发展探索新模式。</w:t>
      </w:r>
      <w:r>
        <w:rPr>
          <w:rFonts w:hint="eastAsia"/>
          <w:szCs w:val="28"/>
        </w:rPr>
        <w:t>打造形成“路旅融合”“桥旅融合”等品牌，“水运+旅游”“枢纽+旅游”等新业态新模式发展迈出新步伐。高速公路、普通国省道、旅游公路等旅游服务设施进一步增加，交通运输车辆服务、信息服务等内容不断完善，驱动交通助推新型工业化、新型城镇化、农业现代化、旅游产业化等“四个轮子一起转”。</w:t>
      </w:r>
    </w:p>
    <w:p>
      <w:pPr>
        <w:pStyle w:val="4"/>
        <w:rPr>
          <w:rFonts w:asciiTheme="majorEastAsia" w:hAnsiTheme="majorEastAsia" w:eastAsiaTheme="majorEastAsia"/>
        </w:rPr>
      </w:pPr>
      <w:bookmarkStart w:id="637" w:name="_Toc66367246"/>
      <w:bookmarkStart w:id="638" w:name="_Toc72513441"/>
      <w:bookmarkStart w:id="639" w:name="_Toc66179131"/>
      <w:bookmarkStart w:id="640" w:name="_Toc58318744"/>
      <w:bookmarkStart w:id="641" w:name="_Toc66367615"/>
      <w:bookmarkStart w:id="642" w:name="_Toc56264699"/>
      <w:bookmarkStart w:id="643" w:name="_Toc66367333"/>
      <w:bookmarkStart w:id="644" w:name="_Toc63601005"/>
      <w:bookmarkStart w:id="645" w:name="_Toc66367420"/>
      <w:bookmarkStart w:id="646" w:name="_Toc72777989"/>
      <w:bookmarkStart w:id="647" w:name="_Toc73625965"/>
      <w:bookmarkStart w:id="648" w:name="_Toc75518138"/>
      <w:bookmarkStart w:id="649" w:name="_Toc76490229"/>
      <w:bookmarkStart w:id="650" w:name="_Toc76993406"/>
      <w:bookmarkStart w:id="651" w:name="_Toc76994099"/>
      <w:bookmarkStart w:id="652" w:name="_Toc76994483"/>
      <w:bookmarkStart w:id="653" w:name="_Toc78374979"/>
      <w:bookmarkStart w:id="654" w:name="_Toc78551008"/>
      <w:bookmarkStart w:id="655" w:name="_Toc78556428"/>
      <w:bookmarkStart w:id="656" w:name="_Toc78813482"/>
      <w:bookmarkStart w:id="657" w:name="_Toc79048564"/>
      <w:bookmarkStart w:id="658" w:name="_Toc79923779"/>
      <w:bookmarkStart w:id="659" w:name="_Toc80103519"/>
      <w:bookmarkStart w:id="660" w:name="_Toc80715969"/>
      <w:bookmarkStart w:id="661" w:name="_Toc81406393"/>
      <w:bookmarkStart w:id="662" w:name="_Toc82161464"/>
      <w:bookmarkStart w:id="663" w:name="_Toc89102188"/>
      <w:bookmarkStart w:id="664" w:name="_Hlk66383990"/>
      <w:r>
        <w:rPr>
          <w:rFonts w:asciiTheme="majorEastAsia" w:hAnsiTheme="majorEastAsia" w:eastAsiaTheme="majorEastAsia"/>
        </w:rPr>
        <w:t>4.2.2具体目标</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pPr>
        <w:ind w:firstLine="562" w:firstLineChars="200"/>
        <w:rPr>
          <w:b/>
        </w:rPr>
      </w:pPr>
      <w:r>
        <w:rPr>
          <w:rFonts w:hint="eastAsia"/>
          <w:b/>
        </w:rPr>
        <w:t xml:space="preserve">一完成： </w:t>
      </w:r>
    </w:p>
    <w:p>
      <w:pPr>
        <w:ind w:firstLine="562" w:firstLineChars="200"/>
      </w:pPr>
      <w:r>
        <w:rPr>
          <w:rFonts w:hint="eastAsia"/>
          <w:b/>
        </w:rPr>
        <w:t>高质量完成交通强国试点任务</w:t>
      </w:r>
      <w:r>
        <w:rPr>
          <w:rFonts w:hint="eastAsia"/>
        </w:rPr>
        <w:t>。按照交通运输部批复意见，通过1</w:t>
      </w:r>
      <w:r>
        <w:t>-2</w:t>
      </w:r>
      <w:r>
        <w:rPr>
          <w:rFonts w:hint="eastAsia"/>
        </w:rPr>
        <w:t>年时间，完成“四好农村路”高质量发展试点，进一步健全完善“四好农村路”高质量发展体系，充分发挥示范引领作用，为交通强国建设提供经验借鉴，为六盘水农业农村发展提供坚实的保障基础。</w:t>
      </w:r>
    </w:p>
    <w:p>
      <w:pPr>
        <w:ind w:firstLine="562" w:firstLineChars="200"/>
        <w:rPr>
          <w:b/>
        </w:rPr>
      </w:pPr>
      <w:r>
        <w:rPr>
          <w:rFonts w:hint="eastAsia"/>
          <w:b/>
        </w:rPr>
        <w:t xml:space="preserve">两提升： </w:t>
      </w:r>
    </w:p>
    <w:p>
      <w:pPr>
        <w:ind w:firstLine="562" w:firstLineChars="200"/>
      </w:pPr>
      <w:r>
        <w:rPr>
          <w:rFonts w:hint="eastAsia"/>
          <w:b/>
        </w:rPr>
        <w:t>一是提升现代流通体系的基础设施供给能力</w:t>
      </w:r>
      <w:r>
        <w:rPr>
          <w:rFonts w:hint="eastAsia"/>
        </w:rPr>
        <w:t>。加快形成以高速公路为骨架、国省干线为支撑、县乡公路为脉络、通村公路为基础、通组路为“毛细血管”的现代化高质量公路网络体系，大力发展枢纽经济和路衍经济，服务支撑现代流通体系建设。加快推进高速公路建设，完善综合运输大通道，通车里程力争达到640公里，国家高速公路境内待贯通路段全部建成。持续完善骨架路网，实现具备条件的普通国道二级及以上比例达</w:t>
      </w:r>
      <w:r>
        <w:t>90</w:t>
      </w:r>
      <w:r>
        <w:rPr>
          <w:rFonts w:hint="eastAsia"/>
        </w:rPr>
        <w:t>%，普通省道三级及以上比例达</w:t>
      </w:r>
      <w:r>
        <w:t>75</w:t>
      </w:r>
      <w:r>
        <w:rPr>
          <w:rFonts w:hint="eastAsia"/>
        </w:rPr>
        <w:t>%以上。加快服务支撑新型城镇化建设，乡镇通二级及以上公路比例力争达100%。</w:t>
      </w:r>
      <w:r>
        <w:rPr>
          <w:rFonts w:hint="eastAsia" w:asciiTheme="majorEastAsia" w:hAnsiTheme="majorEastAsia" w:eastAsiaTheme="majorEastAsia"/>
          <w:szCs w:val="28"/>
        </w:rPr>
        <w:t>内河航道建设取得新进展，力争开展北盘江流域通江达海工程研究，早日建成水路运输大通道。</w:t>
      </w:r>
      <w:r>
        <w:rPr>
          <w:rFonts w:hint="eastAsia"/>
        </w:rPr>
        <w:t>积极推进多种运输方式有效衔接的综合客运枢纽建设，推进一批通用集散型、多式联运型货运枢纽（物流园区）建设，提升综合枢纽节点集散功能和服务水平。</w:t>
      </w:r>
    </w:p>
    <w:p>
      <w:pPr>
        <w:ind w:firstLine="562" w:firstLineChars="200"/>
        <w:rPr>
          <w:rFonts w:asciiTheme="majorEastAsia" w:hAnsiTheme="majorEastAsia" w:eastAsiaTheme="majorEastAsia"/>
          <w:szCs w:val="28"/>
        </w:rPr>
      </w:pPr>
      <w:r>
        <w:rPr>
          <w:rFonts w:hint="eastAsia"/>
          <w:b/>
        </w:rPr>
        <w:t>二是提升行业治理能力和服务水平</w:t>
      </w:r>
      <w:r>
        <w:rPr>
          <w:rFonts w:hint="eastAsia"/>
        </w:rPr>
        <w:t>。完善行业管理体系，构建跨方式、跨部门的综合交通运输协调机制。扎实推进“放管服”改革，完善政府权责清单，持续推进简政放权。深化交通运输综合行政执法改革，整合执法队伍，提升执法效率。加强交通运输行业人才培养和引进，鼓励校企合作、产教融合，充实交通运输行业人才队伍。不断完善信用体系建设。提高人民群众生命安全保障，降低公路水路行业安全生产事故数量、事故死亡人数，</w:t>
      </w:r>
      <w:r>
        <w:rPr>
          <w:rFonts w:hint="eastAsia" w:asciiTheme="majorEastAsia" w:hAnsiTheme="majorEastAsia" w:eastAsiaTheme="majorEastAsia"/>
          <w:szCs w:val="28"/>
        </w:rPr>
        <w:t>加大交通安全生命防护工程建设，乡道及以上行政等级公路高风险路段处置率达100%。推进农村公路管理体制建设，公路人均管理里程降到百公里每人。加强车辆动态监控系统管理，“两客一危”、农村客运、公交出租、租赁汽车车辆主动安全智能防控系统安装率达100%。</w:t>
      </w:r>
    </w:p>
    <w:p>
      <w:pPr>
        <w:ind w:firstLine="562" w:firstLineChars="200"/>
        <w:rPr>
          <w:b/>
        </w:rPr>
      </w:pPr>
      <w:r>
        <w:rPr>
          <w:rFonts w:hint="eastAsia"/>
          <w:b/>
        </w:rPr>
        <w:t xml:space="preserve">四优化： </w:t>
      </w:r>
    </w:p>
    <w:p>
      <w:pPr>
        <w:ind w:firstLine="562" w:firstLineChars="200"/>
      </w:pPr>
      <w:r>
        <w:rPr>
          <w:rFonts w:hint="eastAsia"/>
          <w:b/>
        </w:rPr>
        <w:t>一是优化交通对新型工业化发展支撑</w:t>
      </w:r>
      <w:r>
        <w:rPr>
          <w:rFonts w:hint="eastAsia"/>
        </w:rPr>
        <w:t>。服务支撑重要的能矿基地、特色食品工业基地、新型建材和高端装备制造基地建设，推动产业基地对外连接通道服务水平较低路段改造，全面提升公路管理养护水平和运输超限超载管理水平，提高路网整体抗灾能力和安全性，深入开展养护市场化改革。依托陆海新通道重大工程建设，提升六盘水市节点功能，强化枢纽衔接转换，引导重大产业项目向园区集中，推动工业产业集聚发展。</w:t>
      </w:r>
    </w:p>
    <w:p>
      <w:pPr>
        <w:ind w:firstLine="562" w:firstLineChars="200"/>
      </w:pPr>
      <w:r>
        <w:rPr>
          <w:rFonts w:hint="eastAsia"/>
          <w:b/>
        </w:rPr>
        <w:t>二是优化交通对新型城镇化建设支撑</w:t>
      </w:r>
      <w:r>
        <w:rPr>
          <w:rFonts w:hint="eastAsia"/>
        </w:rPr>
        <w:t>。推进市域区间通道建设，加强融通融合，提高整体路网综合效益。大力推进综合客运枢纽和物流站场建设，助推城镇现代物流发展，提升城镇消费品质、创新城镇消费模式、优化城镇消费环境，推动人才、资本等要素在城乡间双向流动和平等交换，带动产业发展升级，打造城市“动力引擎”。有序推进高速公路新增出入口建设，有效衔接城市道路网，促进交通与城镇融合发展，增强城镇内需带动力、发展竞争力。探索“山为景、水为镜、桥隧连、文旅融、田园美”的山地特色交通旅游新型城镇化融合发展新模式。</w:t>
      </w:r>
    </w:p>
    <w:p>
      <w:pPr>
        <w:ind w:firstLine="562" w:firstLineChars="200"/>
      </w:pPr>
      <w:r>
        <w:rPr>
          <w:rFonts w:hint="eastAsia"/>
          <w:b/>
        </w:rPr>
        <w:t>三是优化交通对农业现代化发展支撑</w:t>
      </w:r>
      <w:r>
        <w:rPr>
          <w:rFonts w:hint="eastAsia"/>
        </w:rPr>
        <w:t>。持续推进普通国省道技术等级低路况差的路段改造，稳步推进农业现代化示范区和重要枢纽农产品集散中心对外通道建设和养护，推动乡村交通基础设施提档升级，强化城乡结合部的交通基础设施建设管养力度。奋力创建“四好农村路”示范市，稳步推进农村联网路的实施，着力提高农村交通安全水平和服务能力，加快推进农村公路安全生命防护工程建设和危桥改造，不断提高农村公路抗灾能力和农村交通安全水平，提高城乡交通运输一体化、均等化发展水平，促进城乡融合发展，持续改善农村生态环境，创建生态宜居的美丽乡村，助推农村产业革命，实现传统农业向现代农业转变。持续提升500亩以上坝区连接公路服务水平。推进实施“快递进村”工程，基本实现村村通快递服务，探索交通+邮政融合发展。</w:t>
      </w:r>
    </w:p>
    <w:p>
      <w:pPr>
        <w:ind w:firstLine="562" w:firstLineChars="200"/>
      </w:pPr>
      <w:r>
        <w:rPr>
          <w:rFonts w:hint="eastAsia"/>
          <w:b/>
        </w:rPr>
        <w:t>四是优化交通对旅游产业化发展支撑</w:t>
      </w:r>
      <w:r>
        <w:rPr>
          <w:rFonts w:hint="eastAsia"/>
        </w:rPr>
        <w:t>。以六盘水市得天独厚的旅游资源为基础，推动以旅游业为龙头的现代服务业创新发展，推进旅游公路、旅游航道建设，开发适应市场需求和消费升级的新业态，推动交通与旅游融合发展。围绕“康养胜地·中国凉都”品牌建设，打造一批交通+旅游精品项目，健全“交旅一体”设施服务功能，营造“人在车中坐、车在画中行”的道路环境。高水平完善山地旅游交通基础服务设施，着力完善“快进”+“慢游”的综合旅游交通网络，持续完善旅游客运安全管理体系，创新旅游交通产品，提升旅游交通服务品质。通过“交通+旅游”“交通+服务业”相融合，便捷配置资源、高效交流信息，推动现代旅游服务业集聚区提质升级，提升交通与旅游融合化、集聚化、数字化、智能化水平。</w:t>
      </w:r>
    </w:p>
    <w:p>
      <w:pPr>
        <w:spacing w:line="240" w:lineRule="auto"/>
        <w:jc w:val="center"/>
        <w:rPr>
          <w:rFonts w:asciiTheme="majorEastAsia" w:hAnsiTheme="majorEastAsia" w:eastAsiaTheme="majorEastAsia"/>
          <w:b/>
          <w:sz w:val="24"/>
          <w:szCs w:val="22"/>
        </w:rPr>
      </w:pPr>
      <w:r>
        <w:rPr>
          <w:rFonts w:hint="eastAsia" w:asciiTheme="majorEastAsia" w:hAnsiTheme="majorEastAsia" w:eastAsiaTheme="majorEastAsia"/>
          <w:b/>
          <w:sz w:val="24"/>
          <w:szCs w:val="22"/>
        </w:rPr>
        <w:t>表</w:t>
      </w:r>
      <w:r>
        <w:rPr>
          <w:rFonts w:asciiTheme="majorEastAsia" w:hAnsiTheme="majorEastAsia" w:eastAsiaTheme="majorEastAsia"/>
          <w:b/>
          <w:sz w:val="24"/>
          <w:szCs w:val="22"/>
        </w:rPr>
        <w:t xml:space="preserve">4-1 </w:t>
      </w:r>
      <w:r>
        <w:rPr>
          <w:rFonts w:hint="eastAsia" w:asciiTheme="majorEastAsia" w:hAnsiTheme="majorEastAsia" w:eastAsiaTheme="majorEastAsia"/>
          <w:b/>
          <w:sz w:val="24"/>
          <w:szCs w:val="22"/>
        </w:rPr>
        <w:t>六盘水市“十四五”期交通运输发展主要指标</w:t>
      </w:r>
    </w:p>
    <w:tbl>
      <w:tblPr>
        <w:tblStyle w:val="48"/>
        <w:tblW w:w="45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4712"/>
        <w:gridCol w:w="982"/>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604" w:type="pct"/>
            <w:gridSpan w:val="2"/>
            <w:vAlign w:val="center"/>
          </w:tcPr>
          <w:p>
            <w:pPr>
              <w:snapToGrid w:val="0"/>
              <w:spacing w:line="240" w:lineRule="auto"/>
              <w:jc w:val="center"/>
              <w:rPr>
                <w:rFonts w:asciiTheme="majorEastAsia" w:hAnsiTheme="majorEastAsia" w:eastAsiaTheme="majorEastAsia" w:cstheme="minorBidi"/>
                <w:b/>
                <w:sz w:val="21"/>
                <w:szCs w:val="21"/>
              </w:rPr>
            </w:pPr>
            <w:r>
              <w:rPr>
                <w:rFonts w:asciiTheme="majorEastAsia" w:hAnsiTheme="majorEastAsia" w:eastAsiaTheme="majorEastAsia" w:cstheme="minorBidi"/>
                <w:b/>
                <w:sz w:val="21"/>
                <w:szCs w:val="21"/>
              </w:rPr>
              <w:t>指标</w:t>
            </w:r>
          </w:p>
        </w:tc>
        <w:tc>
          <w:tcPr>
            <w:tcW w:w="640" w:type="pct"/>
            <w:vAlign w:val="center"/>
          </w:tcPr>
          <w:p>
            <w:pPr>
              <w:snapToGrid w:val="0"/>
              <w:spacing w:line="240" w:lineRule="auto"/>
              <w:jc w:val="center"/>
              <w:rPr>
                <w:rFonts w:asciiTheme="majorEastAsia" w:hAnsiTheme="majorEastAsia" w:eastAsiaTheme="majorEastAsia" w:cstheme="minorBidi"/>
                <w:b/>
                <w:sz w:val="21"/>
                <w:szCs w:val="21"/>
              </w:rPr>
            </w:pPr>
            <w:r>
              <w:rPr>
                <w:rFonts w:asciiTheme="majorEastAsia" w:hAnsiTheme="majorEastAsia" w:eastAsiaTheme="majorEastAsia" w:cstheme="minorBidi"/>
                <w:b/>
                <w:sz w:val="21"/>
                <w:szCs w:val="21"/>
              </w:rPr>
              <w:t>2025年</w:t>
            </w:r>
          </w:p>
        </w:tc>
        <w:tc>
          <w:tcPr>
            <w:tcW w:w="756" w:type="pct"/>
            <w:vAlign w:val="center"/>
          </w:tcPr>
          <w:p>
            <w:pPr>
              <w:snapToGrid w:val="0"/>
              <w:spacing w:line="240" w:lineRule="auto"/>
              <w:jc w:val="center"/>
              <w:rPr>
                <w:rFonts w:asciiTheme="majorEastAsia" w:hAnsiTheme="majorEastAsia" w:eastAsiaTheme="majorEastAsia" w:cstheme="minorBidi"/>
                <w:b/>
                <w:sz w:val="21"/>
                <w:szCs w:val="21"/>
              </w:rPr>
            </w:pPr>
            <w:r>
              <w:rPr>
                <w:rFonts w:hint="eastAsia" w:asciiTheme="majorEastAsia" w:hAnsiTheme="majorEastAsia" w:eastAsiaTheme="majorEastAsia" w:cstheme="minorBidi"/>
                <w:b/>
                <w:sz w:val="21"/>
                <w:szCs w:val="21"/>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pct"/>
            <w:vMerge w:val="restart"/>
            <w:vAlign w:val="center"/>
          </w:tcPr>
          <w:p>
            <w:pPr>
              <w:snapToGrid w:val="0"/>
              <w:spacing w:line="240" w:lineRule="auto"/>
              <w:jc w:val="center"/>
              <w:rPr>
                <w:rFonts w:asciiTheme="majorEastAsia" w:hAnsiTheme="majorEastAsia" w:eastAsiaTheme="majorEastAsia" w:cstheme="minorBidi"/>
                <w:b/>
                <w:sz w:val="21"/>
                <w:szCs w:val="21"/>
              </w:rPr>
            </w:pPr>
            <w:r>
              <w:rPr>
                <w:rFonts w:hint="eastAsia" w:asciiTheme="majorEastAsia" w:hAnsiTheme="majorEastAsia" w:eastAsiaTheme="majorEastAsia" w:cstheme="minorBidi"/>
                <w:b/>
                <w:sz w:val="21"/>
                <w:szCs w:val="21"/>
              </w:rPr>
              <w:t>基础设施</w:t>
            </w:r>
          </w:p>
        </w:tc>
        <w:tc>
          <w:tcPr>
            <w:tcW w:w="3071" w:type="pct"/>
            <w:vAlign w:val="center"/>
          </w:tcPr>
          <w:p>
            <w:pPr>
              <w:snapToGrid w:val="0"/>
              <w:spacing w:line="240" w:lineRule="auto"/>
              <w:jc w:val="left"/>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交通强国试点完成比例（%）</w:t>
            </w:r>
          </w:p>
        </w:tc>
        <w:tc>
          <w:tcPr>
            <w:tcW w:w="640" w:type="pct"/>
            <w:vAlign w:val="center"/>
          </w:tcPr>
          <w:p>
            <w:pPr>
              <w:snapToGrid w:val="0"/>
              <w:spacing w:line="240" w:lineRule="auto"/>
              <w:jc w:val="center"/>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1</w:t>
            </w:r>
            <w:r>
              <w:rPr>
                <w:rFonts w:asciiTheme="majorEastAsia" w:hAnsiTheme="majorEastAsia" w:eastAsiaTheme="majorEastAsia" w:cstheme="minorBidi"/>
                <w:sz w:val="21"/>
                <w:szCs w:val="21"/>
              </w:rPr>
              <w:t>00</w:t>
            </w:r>
          </w:p>
        </w:tc>
        <w:tc>
          <w:tcPr>
            <w:tcW w:w="756" w:type="pct"/>
            <w:vAlign w:val="center"/>
          </w:tcPr>
          <w:p>
            <w:pPr>
              <w:snapToGrid w:val="0"/>
              <w:spacing w:line="240" w:lineRule="auto"/>
              <w:jc w:val="center"/>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pct"/>
            <w:vMerge w:val="continue"/>
            <w:vAlign w:val="center"/>
          </w:tcPr>
          <w:p>
            <w:pPr>
              <w:snapToGrid w:val="0"/>
              <w:spacing w:line="240" w:lineRule="auto"/>
              <w:jc w:val="center"/>
              <w:rPr>
                <w:rFonts w:asciiTheme="majorEastAsia" w:hAnsiTheme="majorEastAsia" w:eastAsiaTheme="majorEastAsia" w:cstheme="minorBidi"/>
                <w:b/>
                <w:sz w:val="21"/>
                <w:szCs w:val="21"/>
              </w:rPr>
            </w:pPr>
          </w:p>
        </w:tc>
        <w:tc>
          <w:tcPr>
            <w:tcW w:w="3071" w:type="pct"/>
            <w:vAlign w:val="center"/>
          </w:tcPr>
          <w:p>
            <w:pPr>
              <w:snapToGrid w:val="0"/>
              <w:spacing w:line="240" w:lineRule="auto"/>
              <w:jc w:val="left"/>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高速公路通车里程（公里）</w:t>
            </w:r>
          </w:p>
        </w:tc>
        <w:tc>
          <w:tcPr>
            <w:tcW w:w="640" w:type="pct"/>
            <w:vAlign w:val="center"/>
          </w:tcPr>
          <w:p>
            <w:pPr>
              <w:snapToGrid w:val="0"/>
              <w:spacing w:line="240" w:lineRule="auto"/>
              <w:jc w:val="center"/>
              <w:rPr>
                <w:rFonts w:asciiTheme="majorEastAsia" w:hAnsiTheme="majorEastAsia" w:eastAsiaTheme="majorEastAsia" w:cstheme="minorBidi"/>
                <w:sz w:val="21"/>
                <w:szCs w:val="21"/>
              </w:rPr>
            </w:pPr>
            <w:r>
              <w:rPr>
                <w:rFonts w:asciiTheme="majorEastAsia" w:hAnsiTheme="majorEastAsia" w:eastAsiaTheme="majorEastAsia" w:cstheme="minorBidi"/>
                <w:sz w:val="21"/>
                <w:szCs w:val="21"/>
              </w:rPr>
              <w:t>640</w:t>
            </w:r>
          </w:p>
        </w:tc>
        <w:tc>
          <w:tcPr>
            <w:tcW w:w="756" w:type="pct"/>
            <w:vAlign w:val="center"/>
          </w:tcPr>
          <w:p>
            <w:pPr>
              <w:snapToGrid w:val="0"/>
              <w:spacing w:line="240" w:lineRule="auto"/>
              <w:jc w:val="center"/>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32" w:type="pct"/>
            <w:vMerge w:val="continue"/>
            <w:vAlign w:val="center"/>
          </w:tcPr>
          <w:p>
            <w:pPr>
              <w:snapToGrid w:val="0"/>
              <w:spacing w:line="240" w:lineRule="auto"/>
              <w:jc w:val="center"/>
              <w:rPr>
                <w:rFonts w:asciiTheme="majorEastAsia" w:hAnsiTheme="majorEastAsia" w:eastAsiaTheme="majorEastAsia" w:cstheme="minorBidi"/>
                <w:b/>
                <w:sz w:val="21"/>
                <w:szCs w:val="21"/>
              </w:rPr>
            </w:pPr>
          </w:p>
        </w:tc>
        <w:tc>
          <w:tcPr>
            <w:tcW w:w="3071" w:type="pct"/>
          </w:tcPr>
          <w:p>
            <w:pPr>
              <w:snapToGrid w:val="0"/>
              <w:spacing w:line="240" w:lineRule="auto"/>
              <w:jc w:val="left"/>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普通国道二级及以上公路比例（</w:t>
            </w:r>
            <w:r>
              <w:rPr>
                <w:rFonts w:asciiTheme="majorEastAsia" w:hAnsiTheme="majorEastAsia" w:eastAsiaTheme="majorEastAsia" w:cstheme="minorBidi"/>
                <w:sz w:val="21"/>
                <w:szCs w:val="21"/>
              </w:rPr>
              <w:t>%）</w:t>
            </w:r>
          </w:p>
        </w:tc>
        <w:tc>
          <w:tcPr>
            <w:tcW w:w="640" w:type="pct"/>
            <w:vAlign w:val="center"/>
          </w:tcPr>
          <w:p>
            <w:pPr>
              <w:snapToGrid w:val="0"/>
              <w:spacing w:line="240" w:lineRule="auto"/>
              <w:jc w:val="center"/>
              <w:rPr>
                <w:rFonts w:asciiTheme="majorEastAsia" w:hAnsiTheme="majorEastAsia" w:eastAsiaTheme="majorEastAsia" w:cstheme="minorBidi"/>
                <w:sz w:val="21"/>
                <w:szCs w:val="21"/>
              </w:rPr>
            </w:pPr>
            <w:r>
              <w:rPr>
                <w:rFonts w:asciiTheme="majorEastAsia" w:hAnsiTheme="majorEastAsia" w:eastAsiaTheme="majorEastAsia" w:cstheme="minorBidi"/>
                <w:sz w:val="21"/>
                <w:szCs w:val="21"/>
              </w:rPr>
              <w:t>90</w:t>
            </w:r>
          </w:p>
        </w:tc>
        <w:tc>
          <w:tcPr>
            <w:tcW w:w="756" w:type="pct"/>
            <w:vAlign w:val="center"/>
          </w:tcPr>
          <w:p>
            <w:pPr>
              <w:snapToGrid w:val="0"/>
              <w:spacing w:line="240" w:lineRule="auto"/>
              <w:jc w:val="center"/>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pct"/>
            <w:vMerge w:val="continue"/>
            <w:vAlign w:val="center"/>
          </w:tcPr>
          <w:p>
            <w:pPr>
              <w:snapToGrid w:val="0"/>
              <w:spacing w:line="240" w:lineRule="auto"/>
              <w:jc w:val="center"/>
              <w:rPr>
                <w:rFonts w:asciiTheme="majorEastAsia" w:hAnsiTheme="majorEastAsia" w:eastAsiaTheme="majorEastAsia" w:cstheme="minorBidi"/>
                <w:b/>
                <w:sz w:val="21"/>
                <w:szCs w:val="21"/>
              </w:rPr>
            </w:pPr>
          </w:p>
        </w:tc>
        <w:tc>
          <w:tcPr>
            <w:tcW w:w="3071" w:type="pct"/>
          </w:tcPr>
          <w:p>
            <w:pPr>
              <w:snapToGrid w:val="0"/>
              <w:spacing w:line="240" w:lineRule="auto"/>
              <w:jc w:val="left"/>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普通省道三级及以上公路比例（</w:t>
            </w:r>
            <w:r>
              <w:rPr>
                <w:rFonts w:asciiTheme="majorEastAsia" w:hAnsiTheme="majorEastAsia" w:eastAsiaTheme="majorEastAsia" w:cstheme="minorBidi"/>
                <w:sz w:val="21"/>
                <w:szCs w:val="21"/>
              </w:rPr>
              <w:t>%）</w:t>
            </w:r>
          </w:p>
        </w:tc>
        <w:tc>
          <w:tcPr>
            <w:tcW w:w="640" w:type="pct"/>
            <w:vAlign w:val="center"/>
          </w:tcPr>
          <w:p>
            <w:pPr>
              <w:snapToGrid w:val="0"/>
              <w:spacing w:line="240" w:lineRule="auto"/>
              <w:jc w:val="center"/>
              <w:rPr>
                <w:rFonts w:asciiTheme="majorEastAsia" w:hAnsiTheme="majorEastAsia" w:eastAsiaTheme="majorEastAsia" w:cstheme="minorBidi"/>
                <w:sz w:val="21"/>
                <w:szCs w:val="21"/>
              </w:rPr>
            </w:pPr>
            <w:r>
              <w:rPr>
                <w:rFonts w:asciiTheme="majorEastAsia" w:hAnsiTheme="majorEastAsia" w:eastAsiaTheme="majorEastAsia" w:cstheme="minorBidi"/>
                <w:sz w:val="21"/>
                <w:szCs w:val="21"/>
              </w:rPr>
              <w:t>75</w:t>
            </w:r>
          </w:p>
        </w:tc>
        <w:tc>
          <w:tcPr>
            <w:tcW w:w="756" w:type="pct"/>
            <w:vAlign w:val="center"/>
          </w:tcPr>
          <w:p>
            <w:pPr>
              <w:snapToGrid w:val="0"/>
              <w:spacing w:line="240" w:lineRule="auto"/>
              <w:jc w:val="center"/>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pct"/>
            <w:vMerge w:val="continue"/>
            <w:vAlign w:val="center"/>
          </w:tcPr>
          <w:p>
            <w:pPr>
              <w:snapToGrid w:val="0"/>
              <w:spacing w:line="240" w:lineRule="auto"/>
              <w:jc w:val="center"/>
              <w:rPr>
                <w:rFonts w:asciiTheme="majorEastAsia" w:hAnsiTheme="majorEastAsia" w:eastAsiaTheme="majorEastAsia" w:cstheme="minorBidi"/>
                <w:b/>
                <w:sz w:val="21"/>
                <w:szCs w:val="21"/>
              </w:rPr>
            </w:pPr>
          </w:p>
        </w:tc>
        <w:tc>
          <w:tcPr>
            <w:tcW w:w="3071" w:type="pct"/>
            <w:vAlign w:val="center"/>
          </w:tcPr>
          <w:p>
            <w:pPr>
              <w:snapToGrid w:val="0"/>
              <w:spacing w:line="240" w:lineRule="auto"/>
              <w:jc w:val="left"/>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乡镇通二级及以上公路比例（</w:t>
            </w:r>
            <w:r>
              <w:rPr>
                <w:rFonts w:asciiTheme="majorEastAsia" w:hAnsiTheme="majorEastAsia" w:eastAsiaTheme="majorEastAsia" w:cstheme="minorBidi"/>
                <w:sz w:val="21"/>
                <w:szCs w:val="21"/>
              </w:rPr>
              <w:t>%）</w:t>
            </w:r>
          </w:p>
        </w:tc>
        <w:tc>
          <w:tcPr>
            <w:tcW w:w="640" w:type="pct"/>
            <w:vAlign w:val="center"/>
          </w:tcPr>
          <w:p>
            <w:pPr>
              <w:snapToGrid w:val="0"/>
              <w:spacing w:line="240" w:lineRule="auto"/>
              <w:jc w:val="center"/>
              <w:rPr>
                <w:rFonts w:asciiTheme="majorEastAsia" w:hAnsiTheme="majorEastAsia" w:eastAsiaTheme="majorEastAsia" w:cstheme="minorBidi"/>
                <w:sz w:val="21"/>
                <w:szCs w:val="21"/>
              </w:rPr>
            </w:pPr>
            <w:r>
              <w:rPr>
                <w:rFonts w:asciiTheme="majorEastAsia" w:hAnsiTheme="majorEastAsia" w:eastAsiaTheme="majorEastAsia" w:cstheme="minorBidi"/>
                <w:sz w:val="21"/>
                <w:szCs w:val="21"/>
              </w:rPr>
              <w:t>100</w:t>
            </w:r>
          </w:p>
        </w:tc>
        <w:tc>
          <w:tcPr>
            <w:tcW w:w="756" w:type="pct"/>
            <w:vAlign w:val="center"/>
          </w:tcPr>
          <w:p>
            <w:pPr>
              <w:snapToGrid w:val="0"/>
              <w:spacing w:line="240" w:lineRule="auto"/>
              <w:jc w:val="center"/>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pct"/>
            <w:vMerge w:val="continue"/>
            <w:vAlign w:val="center"/>
          </w:tcPr>
          <w:p>
            <w:pPr>
              <w:snapToGrid w:val="0"/>
              <w:spacing w:line="240" w:lineRule="auto"/>
              <w:jc w:val="center"/>
              <w:rPr>
                <w:rFonts w:asciiTheme="majorEastAsia" w:hAnsiTheme="majorEastAsia" w:eastAsiaTheme="majorEastAsia" w:cstheme="minorBidi"/>
                <w:b/>
                <w:sz w:val="21"/>
                <w:szCs w:val="21"/>
              </w:rPr>
            </w:pPr>
          </w:p>
        </w:tc>
        <w:tc>
          <w:tcPr>
            <w:tcW w:w="3071" w:type="pct"/>
            <w:vAlign w:val="center"/>
          </w:tcPr>
          <w:p>
            <w:pPr>
              <w:snapToGrid w:val="0"/>
              <w:spacing w:line="240" w:lineRule="auto"/>
              <w:jc w:val="left"/>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新（续</w:t>
            </w:r>
            <w:r>
              <w:rPr>
                <w:rFonts w:asciiTheme="majorEastAsia" w:hAnsiTheme="majorEastAsia" w:eastAsiaTheme="majorEastAsia" w:cstheme="minorBidi"/>
                <w:sz w:val="21"/>
                <w:szCs w:val="21"/>
              </w:rPr>
              <w:t>）</w:t>
            </w:r>
            <w:r>
              <w:rPr>
                <w:rFonts w:hint="eastAsia" w:asciiTheme="majorEastAsia" w:hAnsiTheme="majorEastAsia" w:eastAsiaTheme="majorEastAsia" w:cstheme="minorBidi"/>
                <w:sz w:val="21"/>
                <w:szCs w:val="21"/>
              </w:rPr>
              <w:t>建综合客运枢纽（个）</w:t>
            </w:r>
          </w:p>
        </w:tc>
        <w:tc>
          <w:tcPr>
            <w:tcW w:w="640" w:type="pct"/>
            <w:vAlign w:val="center"/>
          </w:tcPr>
          <w:p>
            <w:pPr>
              <w:snapToGrid w:val="0"/>
              <w:spacing w:line="240" w:lineRule="auto"/>
              <w:jc w:val="center"/>
              <w:rPr>
                <w:rFonts w:asciiTheme="majorEastAsia" w:hAnsiTheme="majorEastAsia" w:eastAsiaTheme="majorEastAsia" w:cstheme="minorBidi"/>
                <w:sz w:val="21"/>
                <w:szCs w:val="21"/>
              </w:rPr>
            </w:pPr>
            <w:r>
              <w:rPr>
                <w:rFonts w:asciiTheme="majorEastAsia" w:hAnsiTheme="majorEastAsia" w:eastAsiaTheme="majorEastAsia" w:cstheme="minorBidi"/>
                <w:sz w:val="21"/>
                <w:szCs w:val="21"/>
              </w:rPr>
              <w:t>3</w:t>
            </w:r>
          </w:p>
        </w:tc>
        <w:tc>
          <w:tcPr>
            <w:tcW w:w="756" w:type="pct"/>
            <w:vAlign w:val="center"/>
          </w:tcPr>
          <w:p>
            <w:pPr>
              <w:snapToGrid w:val="0"/>
              <w:spacing w:line="240" w:lineRule="auto"/>
              <w:jc w:val="center"/>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32" w:type="pct"/>
            <w:vMerge w:val="continue"/>
            <w:vAlign w:val="center"/>
          </w:tcPr>
          <w:p>
            <w:pPr>
              <w:snapToGrid w:val="0"/>
              <w:spacing w:line="240" w:lineRule="auto"/>
              <w:jc w:val="center"/>
              <w:rPr>
                <w:rFonts w:asciiTheme="majorEastAsia" w:hAnsiTheme="majorEastAsia" w:eastAsiaTheme="majorEastAsia" w:cstheme="minorBidi"/>
                <w:b/>
                <w:sz w:val="21"/>
                <w:szCs w:val="21"/>
              </w:rPr>
            </w:pPr>
          </w:p>
        </w:tc>
        <w:tc>
          <w:tcPr>
            <w:tcW w:w="3071" w:type="pct"/>
            <w:vAlign w:val="center"/>
          </w:tcPr>
          <w:p>
            <w:pPr>
              <w:snapToGrid w:val="0"/>
              <w:spacing w:line="240" w:lineRule="auto"/>
              <w:jc w:val="left"/>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新（续</w:t>
            </w:r>
            <w:r>
              <w:rPr>
                <w:rFonts w:asciiTheme="majorEastAsia" w:hAnsiTheme="majorEastAsia" w:eastAsiaTheme="majorEastAsia" w:cstheme="minorBidi"/>
                <w:sz w:val="21"/>
                <w:szCs w:val="21"/>
              </w:rPr>
              <w:t>）</w:t>
            </w:r>
            <w:r>
              <w:rPr>
                <w:rFonts w:hint="eastAsia" w:asciiTheme="majorEastAsia" w:hAnsiTheme="majorEastAsia" w:eastAsiaTheme="majorEastAsia" w:cstheme="minorBidi"/>
                <w:sz w:val="21"/>
                <w:szCs w:val="21"/>
              </w:rPr>
              <w:t>建公交枢纽（个）</w:t>
            </w:r>
          </w:p>
        </w:tc>
        <w:tc>
          <w:tcPr>
            <w:tcW w:w="640" w:type="pct"/>
            <w:vAlign w:val="center"/>
          </w:tcPr>
          <w:p>
            <w:pPr>
              <w:snapToGrid w:val="0"/>
              <w:spacing w:line="240" w:lineRule="auto"/>
              <w:jc w:val="center"/>
              <w:rPr>
                <w:rFonts w:asciiTheme="majorEastAsia" w:hAnsiTheme="majorEastAsia" w:eastAsiaTheme="majorEastAsia" w:cstheme="minorBidi"/>
                <w:sz w:val="21"/>
                <w:szCs w:val="21"/>
              </w:rPr>
            </w:pPr>
            <w:r>
              <w:rPr>
                <w:rFonts w:asciiTheme="majorEastAsia" w:hAnsiTheme="majorEastAsia" w:eastAsiaTheme="majorEastAsia" w:cstheme="minorBidi"/>
                <w:sz w:val="21"/>
                <w:szCs w:val="21"/>
              </w:rPr>
              <w:t>8</w:t>
            </w:r>
          </w:p>
        </w:tc>
        <w:tc>
          <w:tcPr>
            <w:tcW w:w="756" w:type="pct"/>
            <w:vAlign w:val="center"/>
          </w:tcPr>
          <w:p>
            <w:pPr>
              <w:snapToGrid w:val="0"/>
              <w:spacing w:line="240" w:lineRule="auto"/>
              <w:jc w:val="center"/>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pct"/>
            <w:vMerge w:val="restart"/>
            <w:vAlign w:val="center"/>
          </w:tcPr>
          <w:p>
            <w:pPr>
              <w:snapToGrid w:val="0"/>
              <w:spacing w:line="240" w:lineRule="auto"/>
              <w:jc w:val="center"/>
              <w:rPr>
                <w:rFonts w:asciiTheme="majorEastAsia" w:hAnsiTheme="majorEastAsia" w:eastAsiaTheme="majorEastAsia" w:cstheme="minorBidi"/>
                <w:b/>
                <w:sz w:val="21"/>
                <w:szCs w:val="21"/>
              </w:rPr>
            </w:pPr>
            <w:r>
              <w:rPr>
                <w:rFonts w:hint="eastAsia" w:asciiTheme="majorEastAsia" w:hAnsiTheme="majorEastAsia" w:eastAsiaTheme="majorEastAsia" w:cstheme="minorBidi"/>
                <w:b/>
                <w:sz w:val="21"/>
                <w:szCs w:val="21"/>
              </w:rPr>
              <w:t>运输服务</w:t>
            </w:r>
          </w:p>
        </w:tc>
        <w:tc>
          <w:tcPr>
            <w:tcW w:w="3071" w:type="pct"/>
            <w:vAlign w:val="center"/>
          </w:tcPr>
          <w:p>
            <w:pPr>
              <w:snapToGrid w:val="0"/>
              <w:spacing w:line="240" w:lineRule="auto"/>
              <w:jc w:val="left"/>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综合客运枢纽平均换乘时间（分钟）</w:t>
            </w:r>
          </w:p>
        </w:tc>
        <w:tc>
          <w:tcPr>
            <w:tcW w:w="640" w:type="pct"/>
            <w:vAlign w:val="center"/>
          </w:tcPr>
          <w:p>
            <w:pPr>
              <w:snapToGrid w:val="0"/>
              <w:spacing w:line="240" w:lineRule="auto"/>
              <w:jc w:val="center"/>
              <w:rPr>
                <w:rFonts w:asciiTheme="majorEastAsia" w:hAnsiTheme="majorEastAsia" w:eastAsiaTheme="majorEastAsia" w:cstheme="minorBidi"/>
                <w:sz w:val="21"/>
                <w:szCs w:val="21"/>
              </w:rPr>
            </w:pPr>
            <w:r>
              <w:rPr>
                <w:rFonts w:asciiTheme="majorEastAsia" w:hAnsiTheme="majorEastAsia" w:eastAsiaTheme="majorEastAsia" w:cstheme="minorBidi"/>
                <w:sz w:val="21"/>
                <w:szCs w:val="21"/>
              </w:rPr>
              <w:t>30</w:t>
            </w:r>
          </w:p>
        </w:tc>
        <w:tc>
          <w:tcPr>
            <w:tcW w:w="756" w:type="pct"/>
            <w:vAlign w:val="center"/>
          </w:tcPr>
          <w:p>
            <w:pPr>
              <w:snapToGrid w:val="0"/>
              <w:spacing w:line="240" w:lineRule="auto"/>
              <w:jc w:val="center"/>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pct"/>
            <w:vMerge w:val="continue"/>
            <w:vAlign w:val="center"/>
          </w:tcPr>
          <w:p>
            <w:pPr>
              <w:snapToGrid w:val="0"/>
              <w:spacing w:line="240" w:lineRule="auto"/>
              <w:jc w:val="center"/>
              <w:rPr>
                <w:rFonts w:asciiTheme="majorEastAsia" w:hAnsiTheme="majorEastAsia" w:eastAsiaTheme="majorEastAsia" w:cstheme="minorBidi"/>
                <w:b/>
                <w:sz w:val="21"/>
                <w:szCs w:val="21"/>
              </w:rPr>
            </w:pPr>
          </w:p>
        </w:tc>
        <w:tc>
          <w:tcPr>
            <w:tcW w:w="3071" w:type="pct"/>
            <w:vAlign w:val="center"/>
          </w:tcPr>
          <w:p>
            <w:pPr>
              <w:snapToGrid w:val="0"/>
              <w:spacing w:line="240" w:lineRule="auto"/>
              <w:jc w:val="left"/>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高速公路优等路率（</w:t>
            </w:r>
            <w:r>
              <w:rPr>
                <w:rFonts w:asciiTheme="majorEastAsia" w:hAnsiTheme="majorEastAsia" w:eastAsiaTheme="majorEastAsia" w:cstheme="minorBidi"/>
                <w:sz w:val="21"/>
                <w:szCs w:val="21"/>
              </w:rPr>
              <w:t>MQI</w:t>
            </w:r>
            <w:r>
              <w:rPr>
                <w:rFonts w:hint="eastAsia" w:asciiTheme="majorEastAsia" w:hAnsiTheme="majorEastAsia" w:eastAsiaTheme="majorEastAsia" w:cstheme="minorBidi"/>
                <w:sz w:val="21"/>
                <w:szCs w:val="21"/>
              </w:rPr>
              <w:t>）</w:t>
            </w:r>
            <w:r>
              <w:rPr>
                <w:rFonts w:asciiTheme="majorEastAsia" w:hAnsiTheme="majorEastAsia" w:eastAsiaTheme="majorEastAsia" w:cstheme="minorBidi"/>
                <w:sz w:val="21"/>
                <w:szCs w:val="21"/>
              </w:rPr>
              <w:t>(%)</w:t>
            </w:r>
          </w:p>
        </w:tc>
        <w:tc>
          <w:tcPr>
            <w:tcW w:w="640" w:type="pct"/>
            <w:vAlign w:val="center"/>
          </w:tcPr>
          <w:p>
            <w:pPr>
              <w:snapToGrid w:val="0"/>
              <w:spacing w:line="240" w:lineRule="auto"/>
              <w:jc w:val="center"/>
              <w:rPr>
                <w:rFonts w:asciiTheme="majorEastAsia" w:hAnsiTheme="majorEastAsia" w:eastAsiaTheme="majorEastAsia" w:cstheme="minorBidi"/>
                <w:sz w:val="21"/>
                <w:szCs w:val="21"/>
              </w:rPr>
            </w:pPr>
            <w:r>
              <w:rPr>
                <w:rFonts w:asciiTheme="majorEastAsia" w:hAnsiTheme="majorEastAsia" w:eastAsiaTheme="majorEastAsia" w:cstheme="minorBidi"/>
                <w:sz w:val="21"/>
                <w:szCs w:val="21"/>
              </w:rPr>
              <w:t>90</w:t>
            </w:r>
          </w:p>
        </w:tc>
        <w:tc>
          <w:tcPr>
            <w:tcW w:w="756" w:type="pct"/>
            <w:vAlign w:val="center"/>
          </w:tcPr>
          <w:p>
            <w:pPr>
              <w:snapToGrid w:val="0"/>
              <w:spacing w:line="240" w:lineRule="auto"/>
              <w:jc w:val="center"/>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pct"/>
            <w:vMerge w:val="continue"/>
            <w:vAlign w:val="center"/>
          </w:tcPr>
          <w:p>
            <w:pPr>
              <w:snapToGrid w:val="0"/>
              <w:spacing w:line="240" w:lineRule="auto"/>
              <w:jc w:val="center"/>
              <w:rPr>
                <w:rFonts w:asciiTheme="majorEastAsia" w:hAnsiTheme="majorEastAsia" w:eastAsiaTheme="majorEastAsia" w:cstheme="minorBidi"/>
                <w:b/>
                <w:sz w:val="21"/>
                <w:szCs w:val="21"/>
              </w:rPr>
            </w:pPr>
          </w:p>
        </w:tc>
        <w:tc>
          <w:tcPr>
            <w:tcW w:w="3071" w:type="pct"/>
            <w:vAlign w:val="center"/>
          </w:tcPr>
          <w:p>
            <w:pPr>
              <w:snapToGrid w:val="0"/>
              <w:spacing w:line="240" w:lineRule="auto"/>
              <w:jc w:val="left"/>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乡镇货运物流服务网点覆盖率（</w:t>
            </w:r>
            <w:r>
              <w:rPr>
                <w:rFonts w:asciiTheme="majorEastAsia" w:hAnsiTheme="majorEastAsia" w:eastAsiaTheme="majorEastAsia" w:cstheme="minorBidi"/>
                <w:sz w:val="21"/>
                <w:szCs w:val="21"/>
              </w:rPr>
              <w:t>%）</w:t>
            </w:r>
          </w:p>
        </w:tc>
        <w:tc>
          <w:tcPr>
            <w:tcW w:w="640" w:type="pct"/>
            <w:vAlign w:val="center"/>
          </w:tcPr>
          <w:p>
            <w:pPr>
              <w:snapToGrid w:val="0"/>
              <w:spacing w:line="240" w:lineRule="auto"/>
              <w:jc w:val="center"/>
              <w:rPr>
                <w:rFonts w:asciiTheme="majorEastAsia" w:hAnsiTheme="majorEastAsia" w:eastAsiaTheme="majorEastAsia" w:cstheme="minorBidi"/>
                <w:sz w:val="21"/>
                <w:szCs w:val="21"/>
              </w:rPr>
            </w:pPr>
            <w:r>
              <w:rPr>
                <w:rFonts w:asciiTheme="majorEastAsia" w:hAnsiTheme="majorEastAsia" w:eastAsiaTheme="majorEastAsia" w:cstheme="minorBidi"/>
                <w:sz w:val="21"/>
                <w:szCs w:val="21"/>
              </w:rPr>
              <w:t>100</w:t>
            </w:r>
          </w:p>
        </w:tc>
        <w:tc>
          <w:tcPr>
            <w:tcW w:w="756" w:type="pct"/>
            <w:vAlign w:val="center"/>
          </w:tcPr>
          <w:p>
            <w:pPr>
              <w:snapToGrid w:val="0"/>
              <w:spacing w:line="240" w:lineRule="auto"/>
              <w:jc w:val="center"/>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32" w:type="pct"/>
            <w:vMerge w:val="continue"/>
            <w:vAlign w:val="center"/>
          </w:tcPr>
          <w:p>
            <w:pPr>
              <w:snapToGrid w:val="0"/>
              <w:spacing w:line="240" w:lineRule="auto"/>
              <w:jc w:val="center"/>
              <w:rPr>
                <w:rFonts w:asciiTheme="majorEastAsia" w:hAnsiTheme="majorEastAsia" w:eastAsiaTheme="majorEastAsia" w:cstheme="minorBidi"/>
                <w:b/>
                <w:sz w:val="21"/>
                <w:szCs w:val="21"/>
              </w:rPr>
            </w:pPr>
          </w:p>
        </w:tc>
        <w:tc>
          <w:tcPr>
            <w:tcW w:w="3071" w:type="pct"/>
            <w:vAlign w:val="center"/>
          </w:tcPr>
          <w:p>
            <w:pPr>
              <w:snapToGrid w:val="0"/>
              <w:spacing w:line="240" w:lineRule="auto"/>
              <w:jc w:val="left"/>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建制村农村物流通达率（</w:t>
            </w:r>
            <w:r>
              <w:rPr>
                <w:rFonts w:asciiTheme="majorEastAsia" w:hAnsiTheme="majorEastAsia" w:eastAsiaTheme="majorEastAsia" w:cstheme="minorBidi"/>
                <w:sz w:val="21"/>
                <w:szCs w:val="21"/>
              </w:rPr>
              <w:t>%）</w:t>
            </w:r>
          </w:p>
        </w:tc>
        <w:tc>
          <w:tcPr>
            <w:tcW w:w="640" w:type="pct"/>
            <w:vAlign w:val="center"/>
          </w:tcPr>
          <w:p>
            <w:pPr>
              <w:snapToGrid w:val="0"/>
              <w:spacing w:line="240" w:lineRule="auto"/>
              <w:jc w:val="center"/>
              <w:rPr>
                <w:rFonts w:asciiTheme="majorEastAsia" w:hAnsiTheme="majorEastAsia" w:eastAsiaTheme="majorEastAsia" w:cstheme="minorBidi"/>
                <w:sz w:val="21"/>
                <w:szCs w:val="21"/>
              </w:rPr>
            </w:pPr>
            <w:r>
              <w:rPr>
                <w:rFonts w:asciiTheme="majorEastAsia" w:hAnsiTheme="majorEastAsia" w:eastAsiaTheme="majorEastAsia" w:cstheme="minorBidi"/>
                <w:sz w:val="21"/>
                <w:szCs w:val="21"/>
              </w:rPr>
              <w:t>100</w:t>
            </w:r>
          </w:p>
        </w:tc>
        <w:tc>
          <w:tcPr>
            <w:tcW w:w="756" w:type="pct"/>
            <w:vAlign w:val="center"/>
          </w:tcPr>
          <w:p>
            <w:pPr>
              <w:snapToGrid w:val="0"/>
              <w:spacing w:line="240" w:lineRule="auto"/>
              <w:jc w:val="center"/>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pct"/>
            <w:vMerge w:val="continue"/>
            <w:vAlign w:val="center"/>
          </w:tcPr>
          <w:p>
            <w:pPr>
              <w:snapToGrid w:val="0"/>
              <w:spacing w:line="240" w:lineRule="auto"/>
              <w:jc w:val="center"/>
              <w:rPr>
                <w:rFonts w:asciiTheme="majorEastAsia" w:hAnsiTheme="majorEastAsia" w:eastAsiaTheme="majorEastAsia" w:cstheme="minorBidi"/>
                <w:b/>
                <w:sz w:val="21"/>
                <w:szCs w:val="21"/>
              </w:rPr>
            </w:pPr>
          </w:p>
        </w:tc>
        <w:tc>
          <w:tcPr>
            <w:tcW w:w="3071" w:type="pct"/>
            <w:vAlign w:val="center"/>
          </w:tcPr>
          <w:p>
            <w:pPr>
              <w:snapToGrid w:val="0"/>
              <w:spacing w:line="240" w:lineRule="auto"/>
              <w:jc w:val="left"/>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普通国道优良路率（</w:t>
            </w:r>
            <w:r>
              <w:rPr>
                <w:rFonts w:asciiTheme="majorEastAsia" w:hAnsiTheme="majorEastAsia" w:eastAsiaTheme="majorEastAsia" w:cstheme="minorBidi"/>
                <w:sz w:val="21"/>
                <w:szCs w:val="21"/>
              </w:rPr>
              <w:t>MQI）(%)</w:t>
            </w:r>
          </w:p>
        </w:tc>
        <w:tc>
          <w:tcPr>
            <w:tcW w:w="640" w:type="pct"/>
            <w:vAlign w:val="center"/>
          </w:tcPr>
          <w:p>
            <w:pPr>
              <w:snapToGrid w:val="0"/>
              <w:spacing w:line="240" w:lineRule="auto"/>
              <w:jc w:val="center"/>
              <w:rPr>
                <w:rFonts w:asciiTheme="majorEastAsia" w:hAnsiTheme="majorEastAsia" w:eastAsiaTheme="majorEastAsia" w:cstheme="minorBidi"/>
                <w:sz w:val="21"/>
                <w:szCs w:val="21"/>
              </w:rPr>
            </w:pPr>
            <w:r>
              <w:rPr>
                <w:rFonts w:asciiTheme="majorEastAsia" w:hAnsiTheme="majorEastAsia" w:eastAsiaTheme="majorEastAsia" w:cstheme="minorBidi"/>
                <w:sz w:val="21"/>
                <w:szCs w:val="21"/>
              </w:rPr>
              <w:t>85</w:t>
            </w:r>
          </w:p>
        </w:tc>
        <w:tc>
          <w:tcPr>
            <w:tcW w:w="756" w:type="pct"/>
            <w:vAlign w:val="center"/>
          </w:tcPr>
          <w:p>
            <w:pPr>
              <w:snapToGrid w:val="0"/>
              <w:spacing w:line="240" w:lineRule="auto"/>
              <w:jc w:val="center"/>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pct"/>
            <w:vMerge w:val="restart"/>
            <w:vAlign w:val="center"/>
          </w:tcPr>
          <w:p>
            <w:pPr>
              <w:snapToGrid w:val="0"/>
              <w:spacing w:line="240" w:lineRule="auto"/>
              <w:jc w:val="center"/>
              <w:rPr>
                <w:rFonts w:asciiTheme="majorEastAsia" w:hAnsiTheme="majorEastAsia" w:eastAsiaTheme="majorEastAsia" w:cstheme="minorBidi"/>
                <w:b/>
                <w:sz w:val="21"/>
                <w:szCs w:val="21"/>
              </w:rPr>
            </w:pPr>
            <w:r>
              <w:rPr>
                <w:rFonts w:hint="eastAsia" w:asciiTheme="majorEastAsia" w:hAnsiTheme="majorEastAsia" w:eastAsiaTheme="majorEastAsia" w:cstheme="minorBidi"/>
                <w:b/>
                <w:sz w:val="21"/>
                <w:szCs w:val="21"/>
              </w:rPr>
              <w:t>安全应急</w:t>
            </w:r>
          </w:p>
        </w:tc>
        <w:tc>
          <w:tcPr>
            <w:tcW w:w="3071" w:type="pct"/>
            <w:vAlign w:val="center"/>
          </w:tcPr>
          <w:p>
            <w:pPr>
              <w:snapToGrid w:val="0"/>
              <w:spacing w:line="240" w:lineRule="auto"/>
              <w:jc w:val="left"/>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乡道及以上行政等级公路高风险路段处置（</w:t>
            </w:r>
            <w:r>
              <w:rPr>
                <w:rFonts w:asciiTheme="majorEastAsia" w:hAnsiTheme="majorEastAsia" w:eastAsiaTheme="majorEastAsia" w:cstheme="minorBidi"/>
                <w:sz w:val="21"/>
                <w:szCs w:val="21"/>
              </w:rPr>
              <w:t>%）</w:t>
            </w:r>
          </w:p>
        </w:tc>
        <w:tc>
          <w:tcPr>
            <w:tcW w:w="640" w:type="pct"/>
            <w:vAlign w:val="center"/>
          </w:tcPr>
          <w:p>
            <w:pPr>
              <w:snapToGrid w:val="0"/>
              <w:spacing w:line="240" w:lineRule="auto"/>
              <w:jc w:val="center"/>
              <w:rPr>
                <w:rFonts w:asciiTheme="majorEastAsia" w:hAnsiTheme="majorEastAsia" w:eastAsiaTheme="majorEastAsia" w:cstheme="minorBidi"/>
                <w:sz w:val="21"/>
                <w:szCs w:val="21"/>
              </w:rPr>
            </w:pPr>
            <w:r>
              <w:rPr>
                <w:rFonts w:asciiTheme="majorEastAsia" w:hAnsiTheme="majorEastAsia" w:eastAsiaTheme="majorEastAsia" w:cstheme="minorBidi"/>
                <w:sz w:val="21"/>
                <w:szCs w:val="21"/>
              </w:rPr>
              <w:t>100</w:t>
            </w:r>
          </w:p>
        </w:tc>
        <w:tc>
          <w:tcPr>
            <w:tcW w:w="756" w:type="pct"/>
            <w:vAlign w:val="center"/>
          </w:tcPr>
          <w:p>
            <w:pPr>
              <w:snapToGrid w:val="0"/>
              <w:spacing w:line="240" w:lineRule="auto"/>
              <w:jc w:val="center"/>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pct"/>
            <w:vMerge w:val="continue"/>
            <w:vAlign w:val="center"/>
          </w:tcPr>
          <w:p>
            <w:pPr>
              <w:snapToGrid w:val="0"/>
              <w:spacing w:line="240" w:lineRule="auto"/>
              <w:jc w:val="center"/>
              <w:rPr>
                <w:rFonts w:asciiTheme="majorEastAsia" w:hAnsiTheme="majorEastAsia" w:eastAsiaTheme="majorEastAsia" w:cstheme="minorBidi"/>
                <w:b/>
                <w:sz w:val="21"/>
                <w:szCs w:val="21"/>
              </w:rPr>
            </w:pPr>
          </w:p>
        </w:tc>
        <w:tc>
          <w:tcPr>
            <w:tcW w:w="3071" w:type="pct"/>
            <w:vAlign w:val="center"/>
          </w:tcPr>
          <w:p>
            <w:pPr>
              <w:snapToGrid w:val="0"/>
              <w:spacing w:line="240" w:lineRule="auto"/>
              <w:jc w:val="left"/>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水上应急响应时间（分钟）</w:t>
            </w:r>
          </w:p>
        </w:tc>
        <w:tc>
          <w:tcPr>
            <w:tcW w:w="640" w:type="pct"/>
            <w:vAlign w:val="center"/>
          </w:tcPr>
          <w:p>
            <w:pPr>
              <w:snapToGrid w:val="0"/>
              <w:spacing w:line="240" w:lineRule="auto"/>
              <w:jc w:val="center"/>
              <w:rPr>
                <w:rFonts w:asciiTheme="majorEastAsia" w:hAnsiTheme="majorEastAsia" w:eastAsiaTheme="majorEastAsia" w:cstheme="minorBidi"/>
                <w:sz w:val="21"/>
                <w:szCs w:val="21"/>
              </w:rPr>
            </w:pPr>
            <w:r>
              <w:rPr>
                <w:rFonts w:asciiTheme="majorEastAsia" w:hAnsiTheme="majorEastAsia" w:eastAsiaTheme="majorEastAsia" w:cstheme="minorBidi"/>
                <w:sz w:val="21"/>
                <w:szCs w:val="21"/>
              </w:rPr>
              <w:t>45</w:t>
            </w:r>
          </w:p>
        </w:tc>
        <w:tc>
          <w:tcPr>
            <w:tcW w:w="756" w:type="pct"/>
            <w:vAlign w:val="center"/>
          </w:tcPr>
          <w:p>
            <w:pPr>
              <w:snapToGrid w:val="0"/>
              <w:spacing w:line="240" w:lineRule="auto"/>
              <w:jc w:val="center"/>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32" w:type="pct"/>
            <w:vMerge w:val="continue"/>
            <w:vAlign w:val="center"/>
          </w:tcPr>
          <w:p>
            <w:pPr>
              <w:snapToGrid w:val="0"/>
              <w:spacing w:line="240" w:lineRule="auto"/>
              <w:jc w:val="center"/>
              <w:rPr>
                <w:rFonts w:asciiTheme="majorEastAsia" w:hAnsiTheme="majorEastAsia" w:eastAsiaTheme="majorEastAsia" w:cstheme="minorBidi"/>
                <w:b/>
                <w:sz w:val="21"/>
                <w:szCs w:val="21"/>
              </w:rPr>
            </w:pPr>
          </w:p>
        </w:tc>
        <w:tc>
          <w:tcPr>
            <w:tcW w:w="3071" w:type="pct"/>
            <w:vAlign w:val="center"/>
          </w:tcPr>
          <w:p>
            <w:pPr>
              <w:snapToGrid w:val="0"/>
              <w:spacing w:line="240" w:lineRule="auto"/>
              <w:jc w:val="left"/>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一般灾害情况下公路抢通时间（小时）</w:t>
            </w:r>
          </w:p>
        </w:tc>
        <w:tc>
          <w:tcPr>
            <w:tcW w:w="640" w:type="pct"/>
            <w:vAlign w:val="center"/>
          </w:tcPr>
          <w:p>
            <w:pPr>
              <w:snapToGrid w:val="0"/>
              <w:spacing w:line="240" w:lineRule="auto"/>
              <w:jc w:val="center"/>
              <w:rPr>
                <w:rFonts w:asciiTheme="majorEastAsia" w:hAnsiTheme="majorEastAsia" w:eastAsiaTheme="majorEastAsia" w:cstheme="minorBidi"/>
                <w:sz w:val="21"/>
                <w:szCs w:val="21"/>
              </w:rPr>
            </w:pPr>
            <w:r>
              <w:rPr>
                <w:rFonts w:asciiTheme="majorEastAsia" w:hAnsiTheme="majorEastAsia" w:eastAsiaTheme="majorEastAsia" w:cstheme="minorBidi"/>
                <w:sz w:val="21"/>
                <w:szCs w:val="21"/>
              </w:rPr>
              <w:t>24</w:t>
            </w:r>
          </w:p>
        </w:tc>
        <w:tc>
          <w:tcPr>
            <w:tcW w:w="756" w:type="pct"/>
            <w:vAlign w:val="center"/>
          </w:tcPr>
          <w:p>
            <w:pPr>
              <w:snapToGrid w:val="0"/>
              <w:spacing w:line="240" w:lineRule="auto"/>
              <w:jc w:val="center"/>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pct"/>
            <w:vMerge w:val="restart"/>
            <w:vAlign w:val="center"/>
          </w:tcPr>
          <w:p>
            <w:pPr>
              <w:snapToGrid w:val="0"/>
              <w:spacing w:line="240" w:lineRule="auto"/>
              <w:jc w:val="center"/>
              <w:rPr>
                <w:rFonts w:asciiTheme="majorEastAsia" w:hAnsiTheme="majorEastAsia" w:eastAsiaTheme="majorEastAsia" w:cstheme="minorBidi"/>
                <w:b/>
                <w:sz w:val="21"/>
                <w:szCs w:val="21"/>
              </w:rPr>
            </w:pPr>
            <w:r>
              <w:rPr>
                <w:rFonts w:hint="eastAsia" w:asciiTheme="majorEastAsia" w:hAnsiTheme="majorEastAsia" w:eastAsiaTheme="majorEastAsia" w:cstheme="minorBidi"/>
                <w:b/>
                <w:sz w:val="21"/>
                <w:szCs w:val="21"/>
              </w:rPr>
              <w:t>绿色智能</w:t>
            </w:r>
          </w:p>
        </w:tc>
        <w:tc>
          <w:tcPr>
            <w:tcW w:w="3071" w:type="pct"/>
            <w:vAlign w:val="center"/>
          </w:tcPr>
          <w:p>
            <w:pPr>
              <w:snapToGrid w:val="0"/>
              <w:spacing w:line="240" w:lineRule="auto"/>
              <w:jc w:val="left"/>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“两客一危”、农村客运、公交出租、租赁汽车车辆主动安全智能防控系统安装率（</w:t>
            </w:r>
            <w:r>
              <w:rPr>
                <w:rFonts w:asciiTheme="majorEastAsia" w:hAnsiTheme="majorEastAsia" w:eastAsiaTheme="majorEastAsia" w:cstheme="minorBidi"/>
                <w:sz w:val="21"/>
                <w:szCs w:val="21"/>
              </w:rPr>
              <w:t>%）</w:t>
            </w:r>
          </w:p>
        </w:tc>
        <w:tc>
          <w:tcPr>
            <w:tcW w:w="640" w:type="pct"/>
            <w:vAlign w:val="center"/>
          </w:tcPr>
          <w:p>
            <w:pPr>
              <w:snapToGrid w:val="0"/>
              <w:spacing w:line="240" w:lineRule="auto"/>
              <w:jc w:val="center"/>
              <w:rPr>
                <w:rFonts w:asciiTheme="majorEastAsia" w:hAnsiTheme="majorEastAsia" w:eastAsiaTheme="majorEastAsia" w:cstheme="minorBidi"/>
                <w:sz w:val="21"/>
                <w:szCs w:val="21"/>
              </w:rPr>
            </w:pPr>
            <w:r>
              <w:rPr>
                <w:rFonts w:asciiTheme="majorEastAsia" w:hAnsiTheme="majorEastAsia" w:eastAsiaTheme="majorEastAsia" w:cstheme="minorBidi"/>
                <w:sz w:val="21"/>
                <w:szCs w:val="21"/>
              </w:rPr>
              <w:t>100</w:t>
            </w:r>
          </w:p>
        </w:tc>
        <w:tc>
          <w:tcPr>
            <w:tcW w:w="756" w:type="pct"/>
            <w:vAlign w:val="center"/>
          </w:tcPr>
          <w:p>
            <w:pPr>
              <w:snapToGrid w:val="0"/>
              <w:spacing w:line="240" w:lineRule="auto"/>
              <w:jc w:val="center"/>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pct"/>
            <w:vMerge w:val="continue"/>
            <w:vAlign w:val="center"/>
          </w:tcPr>
          <w:p>
            <w:pPr>
              <w:snapToGrid w:val="0"/>
              <w:spacing w:line="240" w:lineRule="auto"/>
              <w:jc w:val="center"/>
              <w:rPr>
                <w:rFonts w:asciiTheme="majorEastAsia" w:hAnsiTheme="majorEastAsia" w:eastAsiaTheme="majorEastAsia" w:cstheme="minorBidi"/>
                <w:b/>
                <w:sz w:val="21"/>
                <w:szCs w:val="21"/>
              </w:rPr>
            </w:pPr>
          </w:p>
        </w:tc>
        <w:tc>
          <w:tcPr>
            <w:tcW w:w="3071" w:type="pct"/>
            <w:vAlign w:val="center"/>
          </w:tcPr>
          <w:p>
            <w:pPr>
              <w:snapToGrid w:val="0"/>
              <w:spacing w:line="240" w:lineRule="auto"/>
              <w:jc w:val="left"/>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二级及以上客运站和定制客运线路电子客票覆盖率（</w:t>
            </w:r>
            <w:r>
              <w:rPr>
                <w:rFonts w:asciiTheme="majorEastAsia" w:hAnsiTheme="majorEastAsia" w:eastAsiaTheme="majorEastAsia" w:cstheme="minorBidi"/>
                <w:sz w:val="21"/>
                <w:szCs w:val="21"/>
              </w:rPr>
              <w:t>%）</w:t>
            </w:r>
          </w:p>
        </w:tc>
        <w:tc>
          <w:tcPr>
            <w:tcW w:w="640" w:type="pct"/>
            <w:vAlign w:val="center"/>
          </w:tcPr>
          <w:p>
            <w:pPr>
              <w:snapToGrid w:val="0"/>
              <w:spacing w:line="240" w:lineRule="auto"/>
              <w:jc w:val="center"/>
              <w:rPr>
                <w:rFonts w:asciiTheme="majorEastAsia" w:hAnsiTheme="majorEastAsia" w:eastAsiaTheme="majorEastAsia" w:cstheme="minorBidi"/>
                <w:sz w:val="21"/>
                <w:szCs w:val="21"/>
              </w:rPr>
            </w:pPr>
            <w:r>
              <w:rPr>
                <w:rFonts w:asciiTheme="majorEastAsia" w:hAnsiTheme="majorEastAsia" w:eastAsiaTheme="majorEastAsia" w:cstheme="minorBidi"/>
                <w:sz w:val="21"/>
                <w:szCs w:val="21"/>
              </w:rPr>
              <w:t>100</w:t>
            </w:r>
          </w:p>
        </w:tc>
        <w:tc>
          <w:tcPr>
            <w:tcW w:w="756" w:type="pct"/>
            <w:vAlign w:val="center"/>
          </w:tcPr>
          <w:p>
            <w:pPr>
              <w:snapToGrid w:val="0"/>
              <w:spacing w:line="240" w:lineRule="auto"/>
              <w:jc w:val="center"/>
              <w:rPr>
                <w:rFonts w:asciiTheme="majorEastAsia" w:hAnsiTheme="majorEastAsia" w:eastAsiaTheme="majorEastAsia" w:cstheme="minorBidi"/>
                <w:sz w:val="21"/>
                <w:szCs w:val="21"/>
              </w:rPr>
            </w:pPr>
            <w:r>
              <w:rPr>
                <w:rFonts w:hint="eastAsia" w:asciiTheme="majorEastAsia" w:hAnsiTheme="majorEastAsia" w:eastAsiaTheme="majorEastAsia" w:cstheme="minorBidi"/>
                <w:sz w:val="21"/>
                <w:szCs w:val="21"/>
              </w:rPr>
              <w:t>预期性</w:t>
            </w:r>
          </w:p>
        </w:tc>
      </w:tr>
    </w:tbl>
    <w:p>
      <w:pPr>
        <w:pStyle w:val="4"/>
        <w:rPr>
          <w:rFonts w:asciiTheme="majorEastAsia" w:hAnsiTheme="majorEastAsia" w:eastAsiaTheme="majorEastAsia"/>
        </w:rPr>
      </w:pPr>
      <w:bookmarkStart w:id="665" w:name="_Toc79923780"/>
      <w:bookmarkStart w:id="666" w:name="_Toc89102189"/>
      <w:bookmarkStart w:id="667" w:name="_Toc82161465"/>
      <w:bookmarkStart w:id="668" w:name="_Toc80715970"/>
      <w:bookmarkStart w:id="669" w:name="_Toc81406394"/>
      <w:bookmarkStart w:id="670" w:name="_Toc80103520"/>
      <w:bookmarkStart w:id="671" w:name="_Toc76994484"/>
      <w:bookmarkStart w:id="672" w:name="_Toc79048565"/>
      <w:bookmarkStart w:id="673" w:name="_Toc78813483"/>
      <w:bookmarkStart w:id="674" w:name="_Toc78551009"/>
      <w:bookmarkStart w:id="675" w:name="_Toc78556429"/>
      <w:bookmarkStart w:id="676" w:name="_Toc78374980"/>
      <w:bookmarkStart w:id="677" w:name="_Toc72777990"/>
      <w:bookmarkStart w:id="678" w:name="_Toc76994100"/>
      <w:bookmarkStart w:id="679" w:name="_Toc76993407"/>
      <w:bookmarkStart w:id="680" w:name="_Toc75518139"/>
      <w:bookmarkStart w:id="681" w:name="_Toc76490230"/>
      <w:bookmarkStart w:id="682" w:name="_Toc73625966"/>
      <w:bookmarkStart w:id="683" w:name="_Toc72513442"/>
      <w:r>
        <w:rPr>
          <w:rFonts w:asciiTheme="majorEastAsia" w:hAnsiTheme="majorEastAsia" w:eastAsiaTheme="majorEastAsia"/>
        </w:rPr>
        <w:t>4.2.3</w:t>
      </w:r>
      <w:r>
        <w:rPr>
          <w:rFonts w:hint="eastAsia" w:asciiTheme="majorEastAsia" w:hAnsiTheme="majorEastAsia" w:eastAsiaTheme="majorEastAsia"/>
        </w:rPr>
        <w:t>远景</w:t>
      </w:r>
      <w:r>
        <w:rPr>
          <w:rFonts w:asciiTheme="majorEastAsia" w:hAnsiTheme="majorEastAsia" w:eastAsiaTheme="majorEastAsia"/>
        </w:rPr>
        <w:t>目标</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pPr>
        <w:ind w:firstLine="567"/>
        <w:rPr>
          <w:rFonts w:asciiTheme="majorEastAsia" w:hAnsiTheme="majorEastAsia" w:eastAsiaTheme="majorEastAsia"/>
          <w:szCs w:val="28"/>
        </w:rPr>
      </w:pPr>
      <w:r>
        <w:rPr>
          <w:rFonts w:hint="eastAsia" w:asciiTheme="majorEastAsia" w:hAnsiTheme="majorEastAsia" w:eastAsiaTheme="majorEastAsia"/>
          <w:szCs w:val="28"/>
        </w:rPr>
        <w:t>到2035年，基本形成</w:t>
      </w:r>
      <w:r>
        <w:rPr>
          <w:rFonts w:hint="eastAsia" w:asciiTheme="majorEastAsia" w:hAnsiTheme="majorEastAsia" w:eastAsiaTheme="majorEastAsia"/>
          <w:b/>
          <w:bCs/>
          <w:szCs w:val="28"/>
        </w:rPr>
        <w:t>安全、便捷、高效、绿色、经济、文明</w:t>
      </w:r>
      <w:r>
        <w:rPr>
          <w:rFonts w:hint="eastAsia" w:asciiTheme="majorEastAsia" w:hAnsiTheme="majorEastAsia" w:eastAsiaTheme="majorEastAsia"/>
          <w:szCs w:val="28"/>
        </w:rPr>
        <w:t>的现代化综合交通体系，交通基础设施通达程度达到西部地区平均水平，基本实现行业治理体系和治理能力现代化，实现交通运输“人民满意、保障有力、省内前列”，为六盘水市与全省同步基本实现社会主义现代化提供更加有力的交通支撑。</w:t>
      </w:r>
    </w:p>
    <w:p/>
    <w:p/>
    <w:bookmarkEnd w:id="664"/>
    <w:p>
      <w:pPr>
        <w:rPr>
          <w:rFonts w:asciiTheme="majorEastAsia" w:hAnsiTheme="majorEastAsia" w:eastAsiaTheme="majorEastAsia"/>
          <w:szCs w:val="28"/>
        </w:rPr>
        <w:sectPr>
          <w:pgSz w:w="11906" w:h="16838"/>
          <w:pgMar w:top="1440" w:right="1800" w:bottom="1440" w:left="1800" w:header="851" w:footer="992" w:gutter="0"/>
          <w:cols w:space="425" w:num="1"/>
          <w:docGrid w:type="lines" w:linePitch="381" w:charSpace="0"/>
        </w:sectPr>
      </w:pPr>
    </w:p>
    <w:p>
      <w:pPr>
        <w:pStyle w:val="2"/>
        <w:rPr>
          <w:rFonts w:asciiTheme="majorEastAsia" w:hAnsiTheme="majorEastAsia" w:eastAsiaTheme="majorEastAsia"/>
        </w:rPr>
      </w:pPr>
      <w:bookmarkStart w:id="684" w:name="_Toc89102190"/>
      <w:bookmarkStart w:id="685" w:name="_Toc51756522"/>
      <w:r>
        <w:rPr>
          <w:rFonts w:asciiTheme="majorEastAsia" w:hAnsiTheme="majorEastAsia" w:eastAsiaTheme="majorEastAsia"/>
        </w:rPr>
        <w:t>第五章 “十四五”交通运输发展重点任务和资金需求分析</w:t>
      </w:r>
      <w:bookmarkEnd w:id="684"/>
      <w:bookmarkEnd w:id="685"/>
    </w:p>
    <w:p>
      <w:pPr>
        <w:pStyle w:val="3"/>
        <w:rPr>
          <w:rFonts w:asciiTheme="majorEastAsia" w:hAnsiTheme="majorEastAsia" w:eastAsiaTheme="majorEastAsia"/>
        </w:rPr>
      </w:pPr>
      <w:bookmarkStart w:id="686" w:name="_Toc51756523"/>
      <w:bookmarkStart w:id="687" w:name="_Toc89102191"/>
      <w:r>
        <w:rPr>
          <w:rFonts w:asciiTheme="majorEastAsia" w:hAnsiTheme="majorEastAsia" w:eastAsiaTheme="majorEastAsia"/>
        </w:rPr>
        <w:t>5.1 重点任务</w:t>
      </w:r>
      <w:bookmarkEnd w:id="686"/>
      <w:bookmarkEnd w:id="687"/>
      <w:bookmarkStart w:id="688" w:name="_Hlk66175019"/>
    </w:p>
    <w:bookmarkEnd w:id="688"/>
    <w:p>
      <w:pPr>
        <w:ind w:firstLine="560" w:firstLineChars="200"/>
        <w:rPr>
          <w:rFonts w:asciiTheme="majorEastAsia" w:hAnsiTheme="majorEastAsia" w:eastAsiaTheme="majorEastAsia"/>
        </w:rPr>
      </w:pPr>
      <w:r>
        <w:rPr>
          <w:rFonts w:asciiTheme="majorEastAsia" w:hAnsiTheme="majorEastAsia" w:eastAsiaTheme="majorEastAsia"/>
        </w:rPr>
        <w:t>针对</w:t>
      </w:r>
      <w:r>
        <w:rPr>
          <w:rFonts w:hint="eastAsia" w:asciiTheme="majorEastAsia" w:hAnsiTheme="majorEastAsia" w:eastAsiaTheme="majorEastAsia"/>
        </w:rPr>
        <w:t>六盘水市</w:t>
      </w:r>
      <w:r>
        <w:rPr>
          <w:rFonts w:asciiTheme="majorEastAsia" w:hAnsiTheme="majorEastAsia" w:eastAsiaTheme="majorEastAsia"/>
        </w:rPr>
        <w:t>交通运输发展当前存在的问题，坚持紧扣主题、服务大局，坚持问题导向、契合需求，坚持用好政策、化解风险，坚持试点引领、突出亮点，围绕发展要求和目标，“十四五”期全</w:t>
      </w:r>
      <w:r>
        <w:rPr>
          <w:rFonts w:hint="eastAsia" w:asciiTheme="majorEastAsia" w:hAnsiTheme="majorEastAsia" w:eastAsiaTheme="majorEastAsia"/>
        </w:rPr>
        <w:t>市</w:t>
      </w:r>
      <w:r>
        <w:rPr>
          <w:rFonts w:asciiTheme="majorEastAsia" w:hAnsiTheme="majorEastAsia" w:eastAsiaTheme="majorEastAsia"/>
        </w:rPr>
        <w:t>交通运输发展的重点任务包括以下</w:t>
      </w:r>
      <w:r>
        <w:rPr>
          <w:rFonts w:hint="eastAsia" w:asciiTheme="majorEastAsia" w:hAnsiTheme="majorEastAsia" w:eastAsiaTheme="majorEastAsia"/>
        </w:rPr>
        <w:t>几</w:t>
      </w:r>
      <w:r>
        <w:rPr>
          <w:rFonts w:asciiTheme="majorEastAsia" w:hAnsiTheme="majorEastAsia" w:eastAsiaTheme="majorEastAsia"/>
        </w:rPr>
        <w:t>个方面：</w:t>
      </w:r>
    </w:p>
    <w:p>
      <w:pPr>
        <w:pStyle w:val="4"/>
        <w:rPr>
          <w:rFonts w:asciiTheme="majorEastAsia" w:hAnsiTheme="majorEastAsia" w:eastAsiaTheme="majorEastAsia"/>
        </w:rPr>
      </w:pPr>
      <w:bookmarkStart w:id="689" w:name="_Toc56264702"/>
      <w:bookmarkStart w:id="690" w:name="_Toc66179134"/>
      <w:bookmarkStart w:id="691" w:name="_Toc58318747"/>
      <w:bookmarkStart w:id="692" w:name="_Toc63601008"/>
      <w:bookmarkStart w:id="693" w:name="_Toc79923783"/>
      <w:bookmarkStart w:id="694" w:name="_Toc89102192"/>
      <w:bookmarkStart w:id="695" w:name="_Toc82161468"/>
      <w:bookmarkStart w:id="696" w:name="_Toc80715973"/>
      <w:bookmarkStart w:id="697" w:name="_Toc81406397"/>
      <w:bookmarkStart w:id="698" w:name="_Toc80103523"/>
      <w:bookmarkStart w:id="699" w:name="_Toc76994487"/>
      <w:bookmarkStart w:id="700" w:name="_Toc79048568"/>
      <w:bookmarkStart w:id="701" w:name="_Toc78813486"/>
      <w:bookmarkStart w:id="702" w:name="_Toc78551012"/>
      <w:bookmarkStart w:id="703" w:name="_Toc78556432"/>
      <w:bookmarkStart w:id="704" w:name="_Toc78374983"/>
      <w:bookmarkStart w:id="705" w:name="_Toc72777993"/>
      <w:bookmarkStart w:id="706" w:name="_Toc76994103"/>
      <w:bookmarkStart w:id="707" w:name="_Toc76993410"/>
      <w:bookmarkStart w:id="708" w:name="_Toc75518142"/>
      <w:bookmarkStart w:id="709" w:name="_Toc76490233"/>
      <w:bookmarkStart w:id="710" w:name="_Toc73625969"/>
      <w:bookmarkStart w:id="711" w:name="_Toc66367618"/>
      <w:bookmarkStart w:id="712" w:name="_Toc66367336"/>
      <w:bookmarkStart w:id="713" w:name="_Toc72513445"/>
      <w:bookmarkStart w:id="714" w:name="_Toc66367249"/>
      <w:bookmarkStart w:id="715" w:name="_Toc66367423"/>
      <w:r>
        <w:rPr>
          <w:rFonts w:asciiTheme="majorEastAsia" w:hAnsiTheme="majorEastAsia" w:eastAsiaTheme="majorEastAsia"/>
        </w:rPr>
        <w:t>5.1.1</w:t>
      </w:r>
      <w:r>
        <w:rPr>
          <w:rFonts w:hint="eastAsia" w:asciiTheme="majorEastAsia" w:hAnsiTheme="majorEastAsia" w:eastAsiaTheme="majorEastAsia"/>
        </w:rPr>
        <w:t>强化基础设施网络供给能力</w:t>
      </w:r>
      <w:bookmarkEnd w:id="689"/>
      <w:bookmarkEnd w:id="690"/>
      <w:bookmarkEnd w:id="691"/>
      <w:bookmarkEnd w:id="692"/>
      <w:r>
        <w:rPr>
          <w:rFonts w:hint="eastAsia" w:asciiTheme="majorEastAsia" w:hAnsiTheme="majorEastAsia" w:eastAsiaTheme="majorEastAsia"/>
        </w:rPr>
        <w:t>。</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Start w:id="716" w:name="_Hlk37837225"/>
    </w:p>
    <w:bookmarkEnd w:id="716"/>
    <w:p>
      <w:pPr>
        <w:pStyle w:val="6"/>
        <w:rPr>
          <w:rFonts w:asciiTheme="majorEastAsia" w:hAnsiTheme="majorEastAsia" w:eastAsiaTheme="majorEastAsia"/>
        </w:rPr>
      </w:pPr>
      <w:r>
        <w:rPr>
          <w:rFonts w:hint="eastAsia" w:asciiTheme="majorEastAsia" w:hAnsiTheme="majorEastAsia" w:eastAsiaTheme="majorEastAsia"/>
        </w:rPr>
        <w:t>（一）继续推进高速公路通道建设，提升高速公路网络效率。</w:t>
      </w:r>
    </w:p>
    <w:p>
      <w:pPr>
        <w:ind w:firstLine="560" w:firstLineChars="200"/>
        <w:rPr>
          <w:rFonts w:asciiTheme="majorEastAsia" w:hAnsiTheme="majorEastAsia" w:eastAsiaTheme="majorEastAsia"/>
          <w:szCs w:val="28"/>
          <w:highlight w:val="yellow"/>
        </w:rPr>
      </w:pPr>
      <w:r>
        <w:rPr>
          <w:rFonts w:asciiTheme="majorEastAsia" w:hAnsiTheme="majorEastAsia" w:eastAsiaTheme="majorEastAsia"/>
          <w:szCs w:val="28"/>
        </w:rPr>
        <w:t>在高速公路网络初步形成的基础上，按照《贵州省高速公路网加密规划》</w:t>
      </w:r>
      <w:r>
        <w:rPr>
          <w:rFonts w:hint="eastAsia" w:asciiTheme="majorEastAsia" w:hAnsiTheme="majorEastAsia" w:eastAsiaTheme="majorEastAsia"/>
          <w:szCs w:val="28"/>
        </w:rPr>
        <w:t>和《</w:t>
      </w:r>
      <w:r>
        <w:rPr>
          <w:rFonts w:asciiTheme="majorEastAsia" w:hAnsiTheme="majorEastAsia" w:eastAsiaTheme="majorEastAsia"/>
          <w:bCs/>
          <w:szCs w:val="28"/>
        </w:rPr>
        <w:t>贵州省新时代高速公路建设五年决战实施方案</w:t>
      </w:r>
      <w:r>
        <w:rPr>
          <w:rFonts w:hint="eastAsia" w:asciiTheme="majorEastAsia" w:hAnsiTheme="majorEastAsia" w:eastAsiaTheme="majorEastAsia"/>
          <w:szCs w:val="28"/>
        </w:rPr>
        <w:t>》</w:t>
      </w:r>
      <w:r>
        <w:rPr>
          <w:rFonts w:asciiTheme="majorEastAsia" w:hAnsiTheme="majorEastAsia" w:eastAsiaTheme="majorEastAsia"/>
          <w:szCs w:val="28"/>
        </w:rPr>
        <w:t>的部署，继续完善高速公路网。用好国家政策，提高主通道能力和服务水平。充分考虑需求和</w:t>
      </w:r>
      <w:r>
        <w:rPr>
          <w:rFonts w:hint="eastAsia" w:asciiTheme="majorEastAsia" w:hAnsiTheme="majorEastAsia" w:eastAsiaTheme="majorEastAsia"/>
          <w:szCs w:val="28"/>
        </w:rPr>
        <w:t>可行性</w:t>
      </w:r>
      <w:r>
        <w:rPr>
          <w:rFonts w:asciiTheme="majorEastAsia" w:hAnsiTheme="majorEastAsia" w:eastAsiaTheme="majorEastAsia"/>
          <w:szCs w:val="28"/>
        </w:rPr>
        <w:t>，稳妥有序地推进高速公路建设。</w:t>
      </w:r>
      <w:r>
        <w:rPr>
          <w:rFonts w:hint="eastAsia" w:asciiTheme="majorEastAsia" w:hAnsiTheme="majorEastAsia" w:eastAsiaTheme="majorEastAsia"/>
          <w:szCs w:val="28"/>
        </w:rPr>
        <w:t>预计到十四五末六盘水市高速将达6</w:t>
      </w:r>
      <w:r>
        <w:rPr>
          <w:rFonts w:asciiTheme="majorEastAsia" w:hAnsiTheme="majorEastAsia" w:eastAsiaTheme="majorEastAsia"/>
          <w:szCs w:val="28"/>
        </w:rPr>
        <w:t>40</w:t>
      </w:r>
      <w:r>
        <w:rPr>
          <w:rFonts w:hint="eastAsia" w:asciiTheme="majorEastAsia" w:hAnsiTheme="majorEastAsia" w:eastAsiaTheme="majorEastAsia"/>
          <w:szCs w:val="28"/>
        </w:rPr>
        <w:t>公里，推动市中心城区、六枝、盘州“一主两副”三中心齐头并进，实现“四横三纵一环线”的高速公路主骨架。</w:t>
      </w:r>
    </w:p>
    <w:p>
      <w:pPr>
        <w:ind w:firstLine="562" w:firstLineChars="200"/>
        <w:rPr>
          <w:rFonts w:asciiTheme="majorEastAsia" w:hAnsiTheme="majorEastAsia" w:eastAsiaTheme="majorEastAsia"/>
          <w:szCs w:val="28"/>
        </w:rPr>
      </w:pPr>
      <w:r>
        <w:rPr>
          <w:rFonts w:hint="eastAsia" w:asciiTheme="majorEastAsia" w:hAnsiTheme="majorEastAsia" w:eastAsiaTheme="majorEastAsia"/>
          <w:b/>
          <w:szCs w:val="28"/>
        </w:rPr>
        <w:t>——继续加强国家高速公路建设。</w:t>
      </w:r>
      <w:r>
        <w:rPr>
          <w:rFonts w:hint="eastAsia" w:asciiTheme="majorEastAsia" w:hAnsiTheme="majorEastAsia" w:eastAsiaTheme="majorEastAsia"/>
          <w:szCs w:val="28"/>
        </w:rPr>
        <w:t>加快推进南北</w:t>
      </w:r>
      <w:r>
        <w:rPr>
          <w:rFonts w:asciiTheme="majorEastAsia" w:hAnsiTheme="majorEastAsia" w:eastAsiaTheme="majorEastAsia"/>
          <w:szCs w:val="28"/>
        </w:rPr>
        <w:t>方向</w:t>
      </w:r>
      <w:r>
        <w:rPr>
          <w:rFonts w:hint="eastAsia" w:asciiTheme="majorEastAsia" w:hAnsiTheme="majorEastAsia" w:eastAsiaTheme="majorEastAsia"/>
          <w:szCs w:val="28"/>
        </w:rPr>
        <w:t>纳雍至晴隆国家高速公路续建工程，加强</w:t>
      </w:r>
      <w:r>
        <w:rPr>
          <w:rFonts w:asciiTheme="majorEastAsia" w:hAnsiTheme="majorEastAsia" w:eastAsiaTheme="majorEastAsia"/>
          <w:szCs w:val="28"/>
        </w:rPr>
        <w:t>六枝特区与毕节、黔西南</w:t>
      </w:r>
      <w:r>
        <w:rPr>
          <w:rFonts w:hint="eastAsia" w:asciiTheme="majorEastAsia" w:hAnsiTheme="majorEastAsia" w:eastAsiaTheme="majorEastAsia"/>
          <w:szCs w:val="28"/>
        </w:rPr>
        <w:t>等地</w:t>
      </w:r>
      <w:r>
        <w:rPr>
          <w:rFonts w:asciiTheme="majorEastAsia" w:hAnsiTheme="majorEastAsia" w:eastAsiaTheme="majorEastAsia"/>
          <w:szCs w:val="28"/>
        </w:rPr>
        <w:t>的联系。</w:t>
      </w:r>
      <w:r>
        <w:rPr>
          <w:rFonts w:hint="eastAsia" w:asciiTheme="majorEastAsia" w:hAnsiTheme="majorEastAsia" w:eastAsiaTheme="majorEastAsia"/>
          <w:szCs w:val="28"/>
        </w:rPr>
        <w:t>积极推进安顺至盘州高速公路建设，提升沪昆国高通道的运输能力，实现与滇中经济圈等重要经济区的快速联系，加快沿线旅游及矿产资源开发。争取玉舍至普田高速公路纳入国家高速公路网，并力争开工建设，</w:t>
      </w:r>
      <w:r>
        <w:rPr>
          <w:rFonts w:asciiTheme="majorEastAsia" w:hAnsiTheme="majorEastAsia" w:eastAsiaTheme="majorEastAsia"/>
          <w:szCs w:val="28"/>
        </w:rPr>
        <w:t>带动沿线小城镇及</w:t>
      </w:r>
      <w:r>
        <w:rPr>
          <w:rFonts w:hint="eastAsia" w:asciiTheme="majorEastAsia" w:hAnsiTheme="majorEastAsia" w:eastAsiaTheme="majorEastAsia"/>
          <w:szCs w:val="28"/>
        </w:rPr>
        <w:t>旅游景区发展。</w:t>
      </w:r>
    </w:p>
    <w:p>
      <w:pPr>
        <w:ind w:firstLine="562" w:firstLineChars="200"/>
        <w:rPr>
          <w:rFonts w:asciiTheme="majorEastAsia" w:hAnsiTheme="majorEastAsia" w:eastAsiaTheme="majorEastAsia"/>
          <w:szCs w:val="28"/>
        </w:rPr>
      </w:pPr>
      <w:r>
        <w:rPr>
          <w:rFonts w:asciiTheme="majorEastAsia" w:hAnsiTheme="majorEastAsia" w:eastAsiaTheme="majorEastAsia"/>
          <w:b/>
          <w:bCs/>
          <w:szCs w:val="28"/>
        </w:rPr>
        <w:t>——稳步推进</w:t>
      </w:r>
      <w:r>
        <w:rPr>
          <w:rFonts w:hint="eastAsia" w:asciiTheme="majorEastAsia" w:hAnsiTheme="majorEastAsia" w:eastAsiaTheme="majorEastAsia"/>
          <w:b/>
          <w:bCs/>
          <w:szCs w:val="28"/>
        </w:rPr>
        <w:t>省级</w:t>
      </w:r>
      <w:r>
        <w:rPr>
          <w:rFonts w:asciiTheme="majorEastAsia" w:hAnsiTheme="majorEastAsia" w:eastAsiaTheme="majorEastAsia"/>
          <w:b/>
          <w:bCs/>
          <w:szCs w:val="28"/>
        </w:rPr>
        <w:t>高速公路通道建设。</w:t>
      </w:r>
      <w:r>
        <w:rPr>
          <w:rFonts w:hint="eastAsia" w:asciiTheme="majorEastAsia" w:hAnsiTheme="majorEastAsia" w:eastAsiaTheme="majorEastAsia"/>
          <w:bCs/>
          <w:szCs w:val="28"/>
        </w:rPr>
        <w:t>“十四五”期间</w:t>
      </w:r>
      <w:r>
        <w:rPr>
          <w:rFonts w:asciiTheme="majorEastAsia" w:hAnsiTheme="majorEastAsia" w:eastAsiaTheme="majorEastAsia"/>
          <w:bCs/>
          <w:szCs w:val="28"/>
        </w:rPr>
        <w:t>，</w:t>
      </w:r>
      <w:r>
        <w:rPr>
          <w:rFonts w:asciiTheme="majorEastAsia" w:hAnsiTheme="majorEastAsia" w:eastAsiaTheme="majorEastAsia"/>
          <w:szCs w:val="28"/>
        </w:rPr>
        <w:t>推进</w:t>
      </w:r>
      <w:r>
        <w:rPr>
          <w:rFonts w:hint="eastAsia" w:asciiTheme="majorEastAsia" w:hAnsiTheme="majorEastAsia" w:eastAsiaTheme="majorEastAsia"/>
          <w:szCs w:val="28"/>
        </w:rPr>
        <w:t>六盘水（六枝）至</w:t>
      </w:r>
      <w:r>
        <w:rPr>
          <w:rFonts w:asciiTheme="majorEastAsia" w:hAnsiTheme="majorEastAsia" w:eastAsiaTheme="majorEastAsia"/>
          <w:szCs w:val="28"/>
        </w:rPr>
        <w:t>安龙</w:t>
      </w:r>
      <w:r>
        <w:rPr>
          <w:rFonts w:hint="eastAsia" w:asciiTheme="majorEastAsia" w:hAnsiTheme="majorEastAsia" w:eastAsiaTheme="majorEastAsia"/>
          <w:szCs w:val="28"/>
        </w:rPr>
        <w:t>省级高速公路建设</w:t>
      </w:r>
      <w:r>
        <w:rPr>
          <w:rFonts w:asciiTheme="majorEastAsia" w:hAnsiTheme="majorEastAsia" w:eastAsiaTheme="majorEastAsia"/>
          <w:szCs w:val="28"/>
        </w:rPr>
        <w:t>，</w:t>
      </w:r>
      <w:r>
        <w:rPr>
          <w:rFonts w:hint="eastAsia" w:asciiTheme="majorEastAsia" w:hAnsiTheme="majorEastAsia" w:eastAsiaTheme="majorEastAsia"/>
          <w:szCs w:val="28"/>
        </w:rPr>
        <w:t>与纳晴、汕昆高速连接，形成贵州省西部地区又一纵向大通道，成为四川泸州经毕节、六枝南下广西百色最便捷的高速公路通道</w:t>
      </w:r>
      <w:r>
        <w:rPr>
          <w:rFonts w:asciiTheme="majorEastAsia" w:hAnsiTheme="majorEastAsia" w:eastAsiaTheme="majorEastAsia"/>
          <w:szCs w:val="28"/>
        </w:rPr>
        <w:t>。</w:t>
      </w:r>
      <w:r>
        <w:rPr>
          <w:rFonts w:hint="eastAsia" w:asciiTheme="majorEastAsia" w:hAnsiTheme="majorEastAsia" w:eastAsiaTheme="majorEastAsia"/>
          <w:szCs w:val="28"/>
        </w:rPr>
        <w:t>同时续建六盘水至赫章公路</w:t>
      </w:r>
      <w:r>
        <w:rPr>
          <w:rFonts w:asciiTheme="majorEastAsia" w:hAnsiTheme="majorEastAsia" w:eastAsiaTheme="majorEastAsia"/>
          <w:szCs w:val="28"/>
        </w:rPr>
        <w:t>。</w:t>
      </w:r>
    </w:p>
    <w:tbl>
      <w:tblPr>
        <w:tblStyle w:val="19"/>
        <w:tblpPr w:leftFromText="180" w:rightFromText="180" w:vertAnchor="text" w:horzAnchor="margin" w:tblpXSpec="right" w:tblpY="1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217" w:type="dxa"/>
            <w:shd w:val="clear" w:color="auto" w:fill="FFFFFF" w:themeFill="background1"/>
          </w:tcPr>
          <w:p>
            <w:pPr>
              <w:jc w:val="center"/>
              <w:rPr>
                <w:rFonts w:asciiTheme="majorEastAsia" w:hAnsiTheme="majorEastAsia" w:eastAsiaTheme="majorEastAsia"/>
                <w:b/>
                <w:bCs/>
                <w:sz w:val="20"/>
                <w:szCs w:val="20"/>
                <w:highlight w:val="yellow"/>
              </w:rPr>
            </w:pPr>
            <w:r>
              <w:rPr>
                <w:rFonts w:asciiTheme="majorEastAsia" w:hAnsiTheme="majorEastAsia" w:eastAsiaTheme="majorEastAsia"/>
                <w:b/>
                <w:bCs/>
                <w:sz w:val="20"/>
                <w:szCs w:val="20"/>
              </w:rPr>
              <w:t>专栏5-1 “十四五”期</w:t>
            </w:r>
            <w:r>
              <w:rPr>
                <w:rFonts w:hint="eastAsia" w:asciiTheme="majorEastAsia" w:hAnsiTheme="majorEastAsia" w:eastAsiaTheme="majorEastAsia"/>
                <w:b/>
                <w:bCs/>
                <w:sz w:val="20"/>
                <w:szCs w:val="20"/>
              </w:rPr>
              <w:t>六盘水市</w:t>
            </w:r>
            <w:r>
              <w:rPr>
                <w:rFonts w:asciiTheme="majorEastAsia" w:hAnsiTheme="majorEastAsia" w:eastAsiaTheme="majorEastAsia"/>
                <w:b/>
                <w:bCs/>
                <w:sz w:val="20"/>
                <w:szCs w:val="20"/>
              </w:rPr>
              <w:t>高速公路建设项目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8217" w:type="dxa"/>
          </w:tcPr>
          <w:p>
            <w:pPr>
              <w:ind w:firstLine="301" w:firstLineChars="150"/>
              <w:rPr>
                <w:rFonts w:asciiTheme="majorEastAsia" w:hAnsiTheme="majorEastAsia" w:eastAsiaTheme="majorEastAsia"/>
                <w:bCs/>
                <w:sz w:val="20"/>
                <w:szCs w:val="20"/>
              </w:rPr>
            </w:pPr>
            <w:r>
              <w:rPr>
                <w:rFonts w:hint="eastAsia" w:asciiTheme="majorEastAsia" w:hAnsiTheme="majorEastAsia" w:eastAsiaTheme="majorEastAsia"/>
                <w:b/>
                <w:sz w:val="20"/>
                <w:szCs w:val="20"/>
              </w:rPr>
              <w:t>1．“十三五”跨“十四五”项目：</w:t>
            </w:r>
            <w:r>
              <w:rPr>
                <w:rFonts w:hint="eastAsia" w:asciiTheme="majorEastAsia" w:hAnsiTheme="majorEastAsia" w:eastAsiaTheme="majorEastAsia"/>
                <w:bCs/>
                <w:sz w:val="20"/>
                <w:szCs w:val="20"/>
              </w:rPr>
              <w:t>纳雍至晴隆公路、六盘水（六枝）至安龙公路、六盘水至赫章公路，六盘水市境内里程共计109公里。</w:t>
            </w:r>
          </w:p>
          <w:p>
            <w:pPr>
              <w:ind w:firstLine="301" w:firstLineChars="150"/>
              <w:rPr>
                <w:rFonts w:asciiTheme="majorEastAsia" w:hAnsiTheme="majorEastAsia" w:eastAsiaTheme="majorEastAsia"/>
                <w:bCs/>
                <w:sz w:val="20"/>
                <w:szCs w:val="20"/>
              </w:rPr>
            </w:pPr>
            <w:r>
              <w:rPr>
                <w:rFonts w:asciiTheme="majorEastAsia" w:hAnsiTheme="majorEastAsia" w:eastAsiaTheme="majorEastAsia"/>
                <w:b/>
                <w:sz w:val="20"/>
                <w:szCs w:val="20"/>
              </w:rPr>
              <w:t xml:space="preserve">2. </w:t>
            </w:r>
            <w:r>
              <w:rPr>
                <w:rFonts w:hint="eastAsia" w:asciiTheme="majorEastAsia" w:hAnsiTheme="majorEastAsia" w:eastAsiaTheme="majorEastAsia"/>
                <w:b/>
                <w:sz w:val="20"/>
                <w:szCs w:val="20"/>
              </w:rPr>
              <w:t>“十四五”新开工项目：</w:t>
            </w:r>
            <w:r>
              <w:rPr>
                <w:rFonts w:hint="eastAsia" w:asciiTheme="majorEastAsia" w:hAnsiTheme="majorEastAsia" w:eastAsiaTheme="majorEastAsia"/>
                <w:bCs/>
                <w:sz w:val="20"/>
                <w:szCs w:val="20"/>
              </w:rPr>
              <w:t>安顺至盘州高速公路，六盘水市境内里程共计</w:t>
            </w:r>
            <w:r>
              <w:rPr>
                <w:rFonts w:asciiTheme="majorEastAsia" w:hAnsiTheme="majorEastAsia" w:eastAsiaTheme="majorEastAsia"/>
                <w:bCs/>
                <w:sz w:val="20"/>
                <w:szCs w:val="20"/>
              </w:rPr>
              <w:t>94</w:t>
            </w:r>
            <w:r>
              <w:rPr>
                <w:rFonts w:hint="eastAsia" w:asciiTheme="majorEastAsia" w:hAnsiTheme="majorEastAsia" w:eastAsiaTheme="majorEastAsia"/>
                <w:bCs/>
                <w:sz w:val="20"/>
                <w:szCs w:val="20"/>
              </w:rPr>
              <w:t>公里。</w:t>
            </w:r>
          </w:p>
          <w:p>
            <w:pPr>
              <w:ind w:firstLine="301" w:firstLineChars="150"/>
              <w:rPr>
                <w:rFonts w:asciiTheme="majorEastAsia" w:hAnsiTheme="majorEastAsia" w:eastAsiaTheme="majorEastAsia"/>
                <w:bCs/>
                <w:sz w:val="20"/>
                <w:szCs w:val="20"/>
              </w:rPr>
            </w:pPr>
            <w:r>
              <w:rPr>
                <w:rFonts w:hint="eastAsia" w:asciiTheme="majorEastAsia" w:hAnsiTheme="majorEastAsia" w:eastAsiaTheme="majorEastAsia"/>
                <w:b/>
                <w:sz w:val="20"/>
                <w:szCs w:val="20"/>
              </w:rPr>
              <w:t>3.“十四五”储备项目：</w:t>
            </w:r>
            <w:r>
              <w:rPr>
                <w:rFonts w:hint="eastAsia" w:asciiTheme="majorEastAsia" w:hAnsiTheme="majorEastAsia" w:eastAsiaTheme="majorEastAsia"/>
                <w:bCs/>
                <w:sz w:val="20"/>
                <w:szCs w:val="20"/>
              </w:rPr>
              <w:t>玉舍至普田高速公路，六盘水市境内里程共计</w:t>
            </w:r>
            <w:r>
              <w:rPr>
                <w:rFonts w:asciiTheme="majorEastAsia" w:hAnsiTheme="majorEastAsia" w:eastAsiaTheme="majorEastAsia"/>
                <w:bCs/>
                <w:sz w:val="20"/>
                <w:szCs w:val="20"/>
              </w:rPr>
              <w:t>126</w:t>
            </w:r>
            <w:r>
              <w:rPr>
                <w:rFonts w:hint="eastAsia" w:asciiTheme="majorEastAsia" w:hAnsiTheme="majorEastAsia" w:eastAsiaTheme="majorEastAsia"/>
                <w:bCs/>
                <w:sz w:val="20"/>
                <w:szCs w:val="20"/>
              </w:rPr>
              <w:t>公里。</w:t>
            </w:r>
          </w:p>
          <w:p>
            <w:pPr>
              <w:ind w:firstLine="301" w:firstLineChars="150"/>
              <w:rPr>
                <w:rFonts w:asciiTheme="majorEastAsia" w:hAnsiTheme="majorEastAsia" w:eastAsiaTheme="majorEastAsia"/>
                <w:bCs/>
                <w:sz w:val="20"/>
                <w:szCs w:val="20"/>
              </w:rPr>
            </w:pPr>
            <w:r>
              <w:rPr>
                <w:rFonts w:asciiTheme="majorEastAsia" w:hAnsiTheme="majorEastAsia" w:eastAsiaTheme="majorEastAsia"/>
                <w:b/>
                <w:sz w:val="20"/>
                <w:szCs w:val="20"/>
              </w:rPr>
              <w:t>4</w:t>
            </w:r>
            <w:r>
              <w:rPr>
                <w:rFonts w:hint="eastAsia" w:asciiTheme="majorEastAsia" w:hAnsiTheme="majorEastAsia" w:eastAsiaTheme="majorEastAsia"/>
                <w:b/>
                <w:sz w:val="20"/>
                <w:szCs w:val="20"/>
              </w:rPr>
              <w:t>.“十四五”研究项目：</w:t>
            </w:r>
            <w:r>
              <w:rPr>
                <w:rFonts w:hint="eastAsia" w:asciiTheme="majorEastAsia" w:hAnsiTheme="majorEastAsia" w:eastAsiaTheme="majorEastAsia"/>
                <w:bCs/>
                <w:sz w:val="20"/>
                <w:szCs w:val="20"/>
              </w:rPr>
              <w:t>织金至六枝高速公路、兴仁经盘州至麒麟高速公路、盘州至宣威高速公路共计里程</w:t>
            </w:r>
            <w:r>
              <w:rPr>
                <w:rFonts w:asciiTheme="majorEastAsia" w:hAnsiTheme="majorEastAsia" w:eastAsiaTheme="majorEastAsia"/>
                <w:bCs/>
                <w:sz w:val="20"/>
                <w:szCs w:val="20"/>
              </w:rPr>
              <w:t>81</w:t>
            </w:r>
            <w:r>
              <w:rPr>
                <w:rFonts w:hint="eastAsia" w:asciiTheme="majorEastAsia" w:hAnsiTheme="majorEastAsia" w:eastAsiaTheme="majorEastAsia"/>
                <w:bCs/>
                <w:sz w:val="20"/>
                <w:szCs w:val="20"/>
              </w:rPr>
              <w:t>公里。</w:t>
            </w:r>
          </w:p>
        </w:tc>
      </w:tr>
    </w:tbl>
    <w:p>
      <w:pPr>
        <w:ind w:firstLine="560" w:firstLineChars="200"/>
        <w:rPr>
          <w:rFonts w:asciiTheme="majorEastAsia" w:hAnsiTheme="majorEastAsia" w:eastAsiaTheme="majorEastAsia"/>
          <w:szCs w:val="28"/>
        </w:rPr>
      </w:pPr>
      <w:r>
        <w:rPr>
          <w:rFonts w:asciiTheme="majorEastAsia" w:hAnsiTheme="majorEastAsia" w:eastAsiaTheme="majorEastAsia"/>
          <w:szCs w:val="28"/>
        </w:rPr>
        <w:t>结合以上建设任务，“十四五”期间全</w:t>
      </w:r>
      <w:r>
        <w:rPr>
          <w:rFonts w:hint="eastAsia" w:asciiTheme="majorEastAsia" w:hAnsiTheme="majorEastAsia" w:eastAsiaTheme="majorEastAsia"/>
          <w:szCs w:val="28"/>
        </w:rPr>
        <w:t>市</w:t>
      </w:r>
      <w:r>
        <w:rPr>
          <w:rFonts w:asciiTheme="majorEastAsia" w:hAnsiTheme="majorEastAsia" w:eastAsiaTheme="majorEastAsia"/>
          <w:szCs w:val="28"/>
        </w:rPr>
        <w:t>高速公路建设规模约为203公里</w:t>
      </w:r>
      <w:r>
        <w:rPr>
          <w:rFonts w:hint="eastAsia" w:asciiTheme="majorEastAsia" w:hAnsiTheme="majorEastAsia" w:eastAsiaTheme="majorEastAsia"/>
          <w:szCs w:val="28"/>
        </w:rPr>
        <w:t>。高速公路</w:t>
      </w:r>
      <w:r>
        <w:rPr>
          <w:rFonts w:asciiTheme="majorEastAsia" w:hAnsiTheme="majorEastAsia" w:eastAsiaTheme="majorEastAsia"/>
          <w:szCs w:val="28"/>
        </w:rPr>
        <w:t>通道的建设，将</w:t>
      </w:r>
      <w:r>
        <w:rPr>
          <w:rFonts w:hint="eastAsia" w:asciiTheme="majorEastAsia" w:hAnsiTheme="majorEastAsia" w:eastAsiaTheme="majorEastAsia"/>
          <w:szCs w:val="28"/>
        </w:rPr>
        <w:t>提升六盘水区位优势，加速沿线资源开发利用、为乡村振兴战略的实施、促进沿线经济社会发展提供强有力的交通保障。</w:t>
      </w:r>
    </w:p>
    <w:p>
      <w:pPr>
        <w:pStyle w:val="6"/>
        <w:rPr>
          <w:rFonts w:asciiTheme="majorEastAsia" w:hAnsiTheme="majorEastAsia" w:eastAsiaTheme="majorEastAsia"/>
        </w:rPr>
      </w:pPr>
      <w:r>
        <w:rPr>
          <w:rFonts w:hint="eastAsia" w:asciiTheme="majorEastAsia" w:hAnsiTheme="majorEastAsia" w:eastAsiaTheme="majorEastAsia"/>
        </w:rPr>
        <w:t>（二）</w:t>
      </w:r>
      <w:r>
        <w:rPr>
          <w:rFonts w:asciiTheme="majorEastAsia" w:hAnsiTheme="majorEastAsia" w:eastAsiaTheme="majorEastAsia"/>
        </w:rPr>
        <w:t>聚焦“中梗阻”推进普通国省干线建设</w:t>
      </w:r>
      <w:r>
        <w:rPr>
          <w:rFonts w:hint="eastAsia" w:asciiTheme="majorEastAsia" w:hAnsiTheme="majorEastAsia" w:eastAsiaTheme="majorEastAsia"/>
        </w:rPr>
        <w:t>，提升技术和服务水平。</w:t>
      </w:r>
    </w:p>
    <w:p>
      <w:pPr>
        <w:ind w:firstLine="560" w:firstLineChars="200"/>
        <w:rPr>
          <w:rFonts w:asciiTheme="majorEastAsia" w:hAnsiTheme="majorEastAsia" w:eastAsiaTheme="majorEastAsia"/>
          <w:szCs w:val="28"/>
        </w:rPr>
      </w:pPr>
      <w:r>
        <w:rPr>
          <w:rFonts w:asciiTheme="majorEastAsia" w:hAnsiTheme="majorEastAsia" w:eastAsiaTheme="majorEastAsia"/>
          <w:szCs w:val="28"/>
        </w:rPr>
        <w:t>按照“统筹兼顾、突出重点，远近结合、分类推进”的思路，因地制宜地推进普通国省道建设，集中优势资源优先建设对于发挥路网整体效用有重要作用的路段。</w:t>
      </w:r>
    </w:p>
    <w:p>
      <w:pPr>
        <w:ind w:firstLine="562" w:firstLineChars="200"/>
        <w:rPr>
          <w:rFonts w:asciiTheme="majorEastAsia" w:hAnsiTheme="majorEastAsia" w:eastAsiaTheme="majorEastAsia"/>
          <w:szCs w:val="28"/>
        </w:rPr>
      </w:pPr>
      <w:r>
        <w:rPr>
          <w:rFonts w:asciiTheme="majorEastAsia" w:hAnsiTheme="majorEastAsia" w:eastAsiaTheme="majorEastAsia"/>
          <w:b/>
          <w:bCs/>
          <w:szCs w:val="28"/>
        </w:rPr>
        <w:t>——大力提升普通国省道技术状况和服务水平。</w:t>
      </w:r>
      <w:r>
        <w:rPr>
          <w:rFonts w:asciiTheme="majorEastAsia" w:hAnsiTheme="majorEastAsia" w:eastAsiaTheme="majorEastAsia"/>
          <w:szCs w:val="28"/>
        </w:rPr>
        <w:t>加快推进普通国道三级及以下路段改造</w:t>
      </w:r>
      <w:r>
        <w:rPr>
          <w:rFonts w:hint="eastAsia" w:asciiTheme="majorEastAsia" w:hAnsiTheme="majorEastAsia" w:eastAsiaTheme="majorEastAsia"/>
          <w:szCs w:val="28"/>
        </w:rPr>
        <w:t>，实现具备条件的普通国道二级及以上比重将达</w:t>
      </w:r>
      <w:r>
        <w:rPr>
          <w:rFonts w:asciiTheme="majorEastAsia" w:hAnsiTheme="majorEastAsia" w:eastAsiaTheme="majorEastAsia"/>
          <w:szCs w:val="28"/>
        </w:rPr>
        <w:t>90</w:t>
      </w:r>
      <w:r>
        <w:rPr>
          <w:rFonts w:hint="eastAsia" w:asciiTheme="majorEastAsia" w:hAnsiTheme="majorEastAsia" w:eastAsiaTheme="majorEastAsia"/>
          <w:szCs w:val="28"/>
        </w:rPr>
        <w:t>%</w:t>
      </w:r>
      <w:r>
        <w:rPr>
          <w:rFonts w:asciiTheme="majorEastAsia" w:hAnsiTheme="majorEastAsia" w:eastAsiaTheme="majorEastAsia"/>
          <w:szCs w:val="28"/>
        </w:rPr>
        <w:t>，顺利实现普通国道“十四五”规划目标。进一步改善普通国道二级公路的技术指标，</w:t>
      </w:r>
      <w:bookmarkStart w:id="717" w:name="_Hlk66383790"/>
      <w:r>
        <w:rPr>
          <w:rFonts w:asciiTheme="majorEastAsia" w:hAnsiTheme="majorEastAsia" w:eastAsiaTheme="majorEastAsia"/>
          <w:szCs w:val="28"/>
        </w:rPr>
        <w:t>加强路面改造，有效提升服务水平。稳步推进普通省道改造升级，提高通行能力和行车舒适性。</w:t>
      </w:r>
    </w:p>
    <w:p>
      <w:pPr>
        <w:ind w:firstLine="562" w:firstLineChars="200"/>
        <w:rPr>
          <w:rFonts w:asciiTheme="majorEastAsia" w:hAnsiTheme="majorEastAsia" w:eastAsiaTheme="majorEastAsia"/>
          <w:szCs w:val="28"/>
        </w:rPr>
      </w:pPr>
      <w:r>
        <w:rPr>
          <w:rFonts w:asciiTheme="majorEastAsia" w:hAnsiTheme="majorEastAsia" w:eastAsiaTheme="majorEastAsia"/>
          <w:b/>
          <w:bCs/>
          <w:szCs w:val="28"/>
        </w:rPr>
        <w:t>——重点推进连接高速公路出入口和交通枢纽的国省道建设。</w:t>
      </w:r>
      <w:r>
        <w:rPr>
          <w:rFonts w:asciiTheme="majorEastAsia" w:hAnsiTheme="majorEastAsia" w:eastAsiaTheme="majorEastAsia"/>
          <w:szCs w:val="28"/>
        </w:rPr>
        <w:t>加快推进一批衔接高速公路出入口、铁路、机场、港口码头等交通枢纽的普通国省道建设，实现交通枢纽与旅游景区、乡镇、资源地、产业区、物流园区等交通发生源和集散地有效衔接，实现客货运输车辆从乡镇、产业园区、旅游景区便捷上高速，各运输方式顺畅衔接。</w:t>
      </w:r>
    </w:p>
    <w:p>
      <w:pPr>
        <w:ind w:firstLine="562" w:firstLineChars="200"/>
        <w:rPr>
          <w:rFonts w:asciiTheme="majorEastAsia" w:hAnsiTheme="majorEastAsia" w:eastAsiaTheme="majorEastAsia"/>
          <w:szCs w:val="28"/>
        </w:rPr>
      </w:pPr>
      <w:r>
        <w:rPr>
          <w:rFonts w:asciiTheme="majorEastAsia" w:hAnsiTheme="majorEastAsia" w:eastAsiaTheme="majorEastAsia"/>
          <w:b/>
          <w:bCs/>
          <w:szCs w:val="28"/>
        </w:rPr>
        <w:t>——建设一批支撑产业与城镇化发展的重要干线。</w:t>
      </w:r>
      <w:r>
        <w:rPr>
          <w:rFonts w:asciiTheme="majorEastAsia" w:hAnsiTheme="majorEastAsia" w:eastAsiaTheme="majorEastAsia"/>
          <w:szCs w:val="28"/>
        </w:rPr>
        <w:t>积极推进连接重点城镇的路线建设，</w:t>
      </w:r>
      <w:r>
        <w:rPr>
          <w:rFonts w:hint="eastAsia" w:asciiTheme="majorEastAsia" w:hAnsiTheme="majorEastAsia" w:eastAsiaTheme="majorEastAsia"/>
          <w:szCs w:val="28"/>
        </w:rPr>
        <w:t>力争</w:t>
      </w:r>
      <w:r>
        <w:rPr>
          <w:rFonts w:asciiTheme="majorEastAsia" w:hAnsiTheme="majorEastAsia" w:eastAsiaTheme="majorEastAsia"/>
          <w:szCs w:val="28"/>
        </w:rPr>
        <w:t>实现</w:t>
      </w:r>
      <w:r>
        <w:rPr>
          <w:rFonts w:hint="eastAsia" w:asciiTheme="majorEastAsia" w:hAnsiTheme="majorEastAsia" w:eastAsiaTheme="majorEastAsia"/>
          <w:szCs w:val="28"/>
        </w:rPr>
        <w:t>全市所有乡镇通二级公路</w:t>
      </w:r>
      <w:r>
        <w:rPr>
          <w:rFonts w:asciiTheme="majorEastAsia" w:hAnsiTheme="majorEastAsia" w:eastAsiaTheme="majorEastAsia"/>
          <w:szCs w:val="28"/>
        </w:rPr>
        <w:t>。建设一批连接重点产业园区、旅游景区和资源点的重要干线，推进由重点城镇辐射连接周边乡镇、旅游点的省道路线建设，在高速公路无法覆盖的交通走廊上更好地补充高速公路网布局，与高速公路共同形成更加完善的市域、县域骨架路网，为区域经济发展提供有力支撑。</w:t>
      </w:r>
    </w:p>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十四五期间，建设国道项目</w:t>
      </w:r>
      <w:r>
        <w:rPr>
          <w:rFonts w:asciiTheme="majorEastAsia" w:hAnsiTheme="majorEastAsia" w:eastAsiaTheme="majorEastAsia"/>
          <w:szCs w:val="28"/>
        </w:rPr>
        <w:t>276.2</w:t>
      </w:r>
      <w:r>
        <w:rPr>
          <w:rFonts w:hint="eastAsia" w:asciiTheme="majorEastAsia" w:hAnsiTheme="majorEastAsia" w:eastAsiaTheme="majorEastAsia"/>
          <w:szCs w:val="28"/>
        </w:rPr>
        <w:t>公里，“十三五”续建</w:t>
      </w:r>
      <w:r>
        <w:rPr>
          <w:rFonts w:asciiTheme="majorEastAsia" w:hAnsiTheme="majorEastAsia" w:eastAsiaTheme="majorEastAsia"/>
          <w:szCs w:val="28"/>
        </w:rPr>
        <w:t>138</w:t>
      </w:r>
      <w:r>
        <w:rPr>
          <w:rFonts w:hint="eastAsia" w:asciiTheme="majorEastAsia" w:hAnsiTheme="majorEastAsia" w:eastAsiaTheme="majorEastAsia"/>
          <w:szCs w:val="28"/>
        </w:rPr>
        <w:t>公里，具备条件的普通国道二级及以上比重将达</w:t>
      </w:r>
      <w:r>
        <w:rPr>
          <w:rFonts w:asciiTheme="majorEastAsia" w:hAnsiTheme="majorEastAsia" w:eastAsiaTheme="majorEastAsia"/>
          <w:szCs w:val="28"/>
        </w:rPr>
        <w:t>90</w:t>
      </w:r>
      <w:r>
        <w:rPr>
          <w:rFonts w:hint="eastAsia" w:asciiTheme="majorEastAsia" w:hAnsiTheme="majorEastAsia" w:eastAsiaTheme="majorEastAsia"/>
          <w:szCs w:val="28"/>
        </w:rPr>
        <w:t>%；计划建设省道项目</w:t>
      </w:r>
      <w:r>
        <w:rPr>
          <w:rFonts w:asciiTheme="majorEastAsia" w:hAnsiTheme="majorEastAsia" w:eastAsiaTheme="majorEastAsia"/>
          <w:szCs w:val="28"/>
        </w:rPr>
        <w:t>53</w:t>
      </w:r>
      <w:r>
        <w:rPr>
          <w:rFonts w:hint="eastAsia" w:asciiTheme="majorEastAsia" w:hAnsiTheme="majorEastAsia" w:eastAsiaTheme="majorEastAsia"/>
          <w:szCs w:val="28"/>
        </w:rPr>
        <w:t>公里，“十三五”续建</w:t>
      </w:r>
      <w:r>
        <w:rPr>
          <w:rFonts w:asciiTheme="majorEastAsia" w:hAnsiTheme="majorEastAsia" w:eastAsiaTheme="majorEastAsia"/>
          <w:szCs w:val="28"/>
        </w:rPr>
        <w:t>28</w:t>
      </w:r>
      <w:r>
        <w:rPr>
          <w:rFonts w:hint="eastAsia" w:asciiTheme="majorEastAsia" w:hAnsiTheme="majorEastAsia" w:eastAsiaTheme="majorEastAsia"/>
          <w:szCs w:val="28"/>
        </w:rPr>
        <w:t>公里，全市普通省道三级及以上等级占比为</w:t>
      </w:r>
      <w:r>
        <w:rPr>
          <w:rFonts w:asciiTheme="majorEastAsia" w:hAnsiTheme="majorEastAsia" w:eastAsiaTheme="majorEastAsia"/>
          <w:szCs w:val="28"/>
        </w:rPr>
        <w:t>75</w:t>
      </w:r>
      <w:r>
        <w:rPr>
          <w:rFonts w:hint="eastAsia" w:asciiTheme="majorEastAsia" w:hAnsiTheme="majorEastAsia" w:eastAsiaTheme="majorEastAsia"/>
          <w:szCs w:val="28"/>
        </w:rPr>
        <w:t>%以上。其他公路共计</w:t>
      </w:r>
      <w:r>
        <w:rPr>
          <w:rFonts w:asciiTheme="majorEastAsia" w:hAnsiTheme="majorEastAsia" w:eastAsiaTheme="majorEastAsia"/>
          <w:szCs w:val="28"/>
        </w:rPr>
        <w:t>22.4</w:t>
      </w:r>
      <w:r>
        <w:rPr>
          <w:rFonts w:hint="eastAsia" w:asciiTheme="majorEastAsia" w:hAnsiTheme="majorEastAsia" w:eastAsiaTheme="majorEastAsia"/>
          <w:szCs w:val="28"/>
        </w:rPr>
        <w:t>公里。</w:t>
      </w:r>
    </w:p>
    <w:tbl>
      <w:tblPr>
        <w:tblStyle w:val="19"/>
        <w:tblpPr w:leftFromText="180" w:rightFromText="180" w:vertAnchor="text" w:horzAnchor="margin" w:tblpXSpec="center" w:tblpY="1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17" w:type="dxa"/>
          </w:tcPr>
          <w:p>
            <w:pPr>
              <w:jc w:val="center"/>
              <w:rPr>
                <w:rFonts w:asciiTheme="majorEastAsia" w:hAnsiTheme="majorEastAsia" w:eastAsiaTheme="majorEastAsia"/>
                <w:b/>
                <w:bCs/>
                <w:sz w:val="20"/>
                <w:szCs w:val="20"/>
              </w:rPr>
            </w:pPr>
            <w:r>
              <w:rPr>
                <w:rFonts w:asciiTheme="majorEastAsia" w:hAnsiTheme="majorEastAsia" w:eastAsiaTheme="majorEastAsia"/>
                <w:b/>
                <w:bCs/>
                <w:sz w:val="20"/>
                <w:szCs w:val="20"/>
              </w:rPr>
              <w:t>专栏5-2 “十四五”期</w:t>
            </w:r>
            <w:r>
              <w:rPr>
                <w:rFonts w:hint="eastAsia" w:asciiTheme="majorEastAsia" w:hAnsiTheme="majorEastAsia" w:eastAsiaTheme="majorEastAsia"/>
                <w:b/>
                <w:bCs/>
                <w:sz w:val="20"/>
                <w:szCs w:val="20"/>
              </w:rPr>
              <w:t>六盘水市</w:t>
            </w:r>
            <w:r>
              <w:rPr>
                <w:rFonts w:asciiTheme="majorEastAsia" w:hAnsiTheme="majorEastAsia" w:eastAsiaTheme="majorEastAsia"/>
                <w:b/>
                <w:bCs/>
                <w:sz w:val="20"/>
                <w:szCs w:val="20"/>
              </w:rPr>
              <w:t>普通国省干线建设项目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8217" w:type="dxa"/>
          </w:tcPr>
          <w:p>
            <w:pPr>
              <w:ind w:firstLine="301" w:firstLineChars="150"/>
              <w:rPr>
                <w:rFonts w:asciiTheme="majorEastAsia" w:hAnsiTheme="majorEastAsia" w:eastAsiaTheme="majorEastAsia"/>
                <w:b/>
                <w:bCs/>
                <w:sz w:val="20"/>
                <w:szCs w:val="20"/>
              </w:rPr>
            </w:pPr>
            <w:r>
              <w:rPr>
                <w:rFonts w:hint="eastAsia" w:asciiTheme="majorEastAsia" w:hAnsiTheme="majorEastAsia" w:eastAsiaTheme="majorEastAsia"/>
                <w:b/>
                <w:sz w:val="20"/>
                <w:szCs w:val="20"/>
              </w:rPr>
              <w:t>1.</w:t>
            </w:r>
            <w:r>
              <w:rPr>
                <w:rFonts w:asciiTheme="majorEastAsia" w:hAnsiTheme="majorEastAsia" w:eastAsiaTheme="majorEastAsia"/>
                <w:b/>
                <w:sz w:val="20"/>
                <w:szCs w:val="20"/>
              </w:rPr>
              <w:t>国道项目：</w:t>
            </w:r>
            <w:r>
              <w:rPr>
                <w:rFonts w:hint="eastAsia" w:asciiTheme="majorEastAsia" w:hAnsiTheme="majorEastAsia" w:eastAsiaTheme="majorEastAsia"/>
                <w:b/>
                <w:sz w:val="20"/>
                <w:szCs w:val="20"/>
              </w:rPr>
              <w:t>续建</w:t>
            </w:r>
            <w:r>
              <w:rPr>
                <w:rFonts w:asciiTheme="majorEastAsia" w:hAnsiTheme="majorEastAsia" w:eastAsiaTheme="majorEastAsia"/>
                <w:b/>
                <w:sz w:val="20"/>
                <w:szCs w:val="20"/>
              </w:rPr>
              <w:t>5</w:t>
            </w:r>
            <w:r>
              <w:rPr>
                <w:rFonts w:hint="eastAsia" w:asciiTheme="majorEastAsia" w:hAnsiTheme="majorEastAsia" w:eastAsiaTheme="majorEastAsia"/>
                <w:b/>
                <w:sz w:val="20"/>
                <w:szCs w:val="20"/>
              </w:rPr>
              <w:t>个</w:t>
            </w:r>
            <w:r>
              <w:rPr>
                <w:rFonts w:asciiTheme="majorEastAsia" w:hAnsiTheme="majorEastAsia" w:eastAsiaTheme="majorEastAsia"/>
                <w:b/>
                <w:sz w:val="20"/>
                <w:szCs w:val="20"/>
              </w:rPr>
              <w:t>项目，</w:t>
            </w:r>
            <w:r>
              <w:rPr>
                <w:rFonts w:hint="eastAsia" w:asciiTheme="majorEastAsia" w:hAnsiTheme="majorEastAsia" w:eastAsiaTheme="majorEastAsia"/>
                <w:b/>
                <w:sz w:val="20"/>
                <w:szCs w:val="20"/>
              </w:rPr>
              <w:t>共计</w:t>
            </w:r>
            <w:r>
              <w:rPr>
                <w:rFonts w:asciiTheme="majorEastAsia" w:hAnsiTheme="majorEastAsia" w:eastAsiaTheme="majorEastAsia"/>
                <w:b/>
                <w:sz w:val="20"/>
                <w:szCs w:val="20"/>
              </w:rPr>
              <w:t>138</w:t>
            </w:r>
            <w:r>
              <w:rPr>
                <w:rFonts w:hint="eastAsia" w:asciiTheme="majorEastAsia" w:hAnsiTheme="majorEastAsia" w:eastAsiaTheme="majorEastAsia"/>
                <w:b/>
                <w:sz w:val="20"/>
                <w:szCs w:val="20"/>
              </w:rPr>
              <w:t>公里</w:t>
            </w:r>
            <w:r>
              <w:rPr>
                <w:rFonts w:asciiTheme="majorEastAsia" w:hAnsiTheme="majorEastAsia" w:eastAsiaTheme="majorEastAsia"/>
                <w:b/>
                <w:sz w:val="20"/>
                <w:szCs w:val="20"/>
              </w:rPr>
              <w:t>，其中一级公路26</w:t>
            </w:r>
            <w:r>
              <w:rPr>
                <w:rFonts w:hint="eastAsia" w:asciiTheme="majorEastAsia" w:hAnsiTheme="majorEastAsia" w:eastAsiaTheme="majorEastAsia"/>
                <w:b/>
                <w:sz w:val="20"/>
                <w:szCs w:val="20"/>
              </w:rPr>
              <w:t>公里</w:t>
            </w:r>
            <w:r>
              <w:rPr>
                <w:rFonts w:asciiTheme="majorEastAsia" w:hAnsiTheme="majorEastAsia" w:eastAsiaTheme="majorEastAsia"/>
                <w:b/>
                <w:sz w:val="20"/>
                <w:szCs w:val="20"/>
              </w:rPr>
              <w:t>，二级公路112</w:t>
            </w:r>
            <w:r>
              <w:rPr>
                <w:rFonts w:hint="eastAsia" w:asciiTheme="majorEastAsia" w:hAnsiTheme="majorEastAsia" w:eastAsiaTheme="majorEastAsia"/>
                <w:b/>
                <w:sz w:val="20"/>
                <w:szCs w:val="20"/>
              </w:rPr>
              <w:t>公里</w:t>
            </w:r>
            <w:r>
              <w:rPr>
                <w:rFonts w:asciiTheme="majorEastAsia" w:hAnsiTheme="majorEastAsia" w:eastAsiaTheme="majorEastAsia"/>
                <w:sz w:val="20"/>
                <w:szCs w:val="20"/>
              </w:rPr>
              <w:t>。</w:t>
            </w:r>
            <w:r>
              <w:rPr>
                <w:rFonts w:hint="eastAsia" w:asciiTheme="majorEastAsia" w:hAnsiTheme="majorEastAsia" w:eastAsiaTheme="majorEastAsia"/>
                <w:sz w:val="20"/>
                <w:szCs w:val="20"/>
              </w:rPr>
              <w:t>G246盘州普古垭口至淤泥公路、G246盘州鸡场坪至刘官公路、G356水城花泥坝至纸厂公路、</w:t>
            </w:r>
            <w:r>
              <w:rPr>
                <w:rFonts w:hint="eastAsia" w:asciiTheme="majorEastAsia" w:hAnsiTheme="majorEastAsia" w:eastAsiaTheme="majorEastAsia"/>
                <w:bCs/>
                <w:sz w:val="20"/>
                <w:szCs w:val="20"/>
              </w:rPr>
              <w:t>G356六枝落别至大用公路</w:t>
            </w:r>
            <w:r>
              <w:rPr>
                <w:rFonts w:hint="eastAsia" w:asciiTheme="majorEastAsia" w:hAnsiTheme="majorEastAsia" w:eastAsiaTheme="majorEastAsia"/>
                <w:sz w:val="20"/>
                <w:szCs w:val="20"/>
              </w:rPr>
              <w:t>、</w:t>
            </w:r>
            <w:r>
              <w:rPr>
                <w:rFonts w:hint="eastAsia" w:asciiTheme="majorEastAsia" w:hAnsiTheme="majorEastAsia" w:eastAsiaTheme="majorEastAsia"/>
                <w:bCs/>
                <w:sz w:val="20"/>
                <w:szCs w:val="20"/>
              </w:rPr>
              <w:t>G246水城姬官营至普古垭口公路。</w:t>
            </w:r>
            <w:r>
              <w:rPr>
                <w:rFonts w:hint="eastAsia" w:asciiTheme="majorEastAsia" w:hAnsiTheme="majorEastAsia" w:eastAsiaTheme="majorEastAsia"/>
                <w:b/>
                <w:sz w:val="20"/>
                <w:szCs w:val="20"/>
              </w:rPr>
              <w:t>“十四五”</w:t>
            </w:r>
            <w:r>
              <w:rPr>
                <w:rFonts w:asciiTheme="majorEastAsia" w:hAnsiTheme="majorEastAsia" w:eastAsiaTheme="majorEastAsia"/>
                <w:b/>
                <w:sz w:val="20"/>
                <w:szCs w:val="20"/>
              </w:rPr>
              <w:t>新</w:t>
            </w:r>
            <w:r>
              <w:rPr>
                <w:rFonts w:hint="eastAsia" w:asciiTheme="majorEastAsia" w:hAnsiTheme="majorEastAsia" w:eastAsiaTheme="majorEastAsia"/>
                <w:b/>
                <w:bCs/>
                <w:sz w:val="20"/>
                <w:szCs w:val="20"/>
              </w:rPr>
              <w:t>开工</w:t>
            </w:r>
            <w:r>
              <w:rPr>
                <w:rFonts w:asciiTheme="majorEastAsia" w:hAnsiTheme="majorEastAsia" w:eastAsiaTheme="majorEastAsia"/>
                <w:b/>
                <w:bCs/>
                <w:sz w:val="20"/>
                <w:szCs w:val="20"/>
              </w:rPr>
              <w:t>4</w:t>
            </w:r>
            <w:r>
              <w:rPr>
                <w:rFonts w:hint="eastAsia" w:asciiTheme="majorEastAsia" w:hAnsiTheme="majorEastAsia" w:eastAsiaTheme="majorEastAsia"/>
                <w:b/>
                <w:bCs/>
                <w:sz w:val="20"/>
                <w:szCs w:val="20"/>
              </w:rPr>
              <w:t>个</w:t>
            </w:r>
            <w:r>
              <w:rPr>
                <w:rFonts w:asciiTheme="majorEastAsia" w:hAnsiTheme="majorEastAsia" w:eastAsiaTheme="majorEastAsia"/>
                <w:b/>
                <w:bCs/>
                <w:sz w:val="20"/>
                <w:szCs w:val="20"/>
              </w:rPr>
              <w:t>项目</w:t>
            </w:r>
            <w:r>
              <w:rPr>
                <w:rFonts w:hint="eastAsia" w:asciiTheme="majorEastAsia" w:hAnsiTheme="majorEastAsia" w:eastAsiaTheme="majorEastAsia"/>
                <w:b/>
                <w:bCs/>
                <w:sz w:val="20"/>
                <w:szCs w:val="20"/>
              </w:rPr>
              <w:t>，</w:t>
            </w:r>
            <w:r>
              <w:rPr>
                <w:rFonts w:asciiTheme="majorEastAsia" w:hAnsiTheme="majorEastAsia" w:eastAsiaTheme="majorEastAsia"/>
                <w:b/>
                <w:bCs/>
                <w:sz w:val="20"/>
                <w:szCs w:val="20"/>
              </w:rPr>
              <w:t>共计138.2</w:t>
            </w:r>
            <w:r>
              <w:rPr>
                <w:rFonts w:hint="eastAsia" w:asciiTheme="majorEastAsia" w:hAnsiTheme="majorEastAsia" w:eastAsiaTheme="majorEastAsia"/>
                <w:b/>
                <w:bCs/>
                <w:sz w:val="20"/>
                <w:szCs w:val="20"/>
              </w:rPr>
              <w:t>公里</w:t>
            </w:r>
            <w:r>
              <w:rPr>
                <w:rFonts w:asciiTheme="majorEastAsia" w:hAnsiTheme="majorEastAsia" w:eastAsiaTheme="majorEastAsia"/>
                <w:b/>
                <w:bCs/>
                <w:sz w:val="20"/>
                <w:szCs w:val="20"/>
              </w:rPr>
              <w:t>，</w:t>
            </w:r>
            <w:r>
              <w:rPr>
                <w:rFonts w:hint="eastAsia" w:asciiTheme="majorEastAsia" w:hAnsiTheme="majorEastAsia" w:eastAsiaTheme="majorEastAsia"/>
                <w:b/>
                <w:bCs/>
                <w:sz w:val="20"/>
                <w:szCs w:val="20"/>
              </w:rPr>
              <w:t>其中一级</w:t>
            </w:r>
            <w:r>
              <w:rPr>
                <w:rFonts w:asciiTheme="majorEastAsia" w:hAnsiTheme="majorEastAsia" w:eastAsiaTheme="majorEastAsia"/>
                <w:b/>
                <w:bCs/>
                <w:sz w:val="20"/>
                <w:szCs w:val="20"/>
              </w:rPr>
              <w:t>公路17.2</w:t>
            </w:r>
            <w:r>
              <w:rPr>
                <w:rFonts w:hint="eastAsia" w:asciiTheme="majorEastAsia" w:hAnsiTheme="majorEastAsia" w:eastAsiaTheme="majorEastAsia"/>
                <w:b/>
                <w:bCs/>
                <w:sz w:val="20"/>
                <w:szCs w:val="20"/>
              </w:rPr>
              <w:t>公里</w:t>
            </w:r>
            <w:r>
              <w:rPr>
                <w:rFonts w:asciiTheme="majorEastAsia" w:hAnsiTheme="majorEastAsia" w:eastAsiaTheme="majorEastAsia"/>
                <w:b/>
                <w:bCs/>
                <w:sz w:val="20"/>
                <w:szCs w:val="20"/>
              </w:rPr>
              <w:t>，二级公路121</w:t>
            </w:r>
            <w:r>
              <w:rPr>
                <w:rFonts w:hint="eastAsia" w:asciiTheme="majorEastAsia" w:hAnsiTheme="majorEastAsia" w:eastAsiaTheme="majorEastAsia"/>
                <w:b/>
                <w:bCs/>
                <w:sz w:val="20"/>
                <w:szCs w:val="20"/>
              </w:rPr>
              <w:t>公里</w:t>
            </w:r>
            <w:r>
              <w:rPr>
                <w:rFonts w:asciiTheme="majorEastAsia" w:hAnsiTheme="majorEastAsia" w:eastAsiaTheme="majorEastAsia"/>
                <w:b/>
                <w:bCs/>
                <w:sz w:val="20"/>
                <w:szCs w:val="20"/>
              </w:rPr>
              <w:t>。</w:t>
            </w:r>
            <w:r>
              <w:rPr>
                <w:rFonts w:hint="eastAsia" w:asciiTheme="majorEastAsia" w:hAnsiTheme="majorEastAsia" w:eastAsiaTheme="majorEastAsia"/>
                <w:bCs/>
                <w:sz w:val="20"/>
                <w:szCs w:val="20"/>
              </w:rPr>
              <w:t>G246盘州刘官至赵官公路、G320普安三板桥至盘州刘官公路、G246水城俄脚至姬官营公路、G246盘州赵官至补西垭口公路。</w:t>
            </w:r>
          </w:p>
          <w:p>
            <w:pPr>
              <w:ind w:firstLine="343" w:firstLineChars="171"/>
              <w:rPr>
                <w:rFonts w:asciiTheme="majorEastAsia" w:hAnsiTheme="majorEastAsia" w:eastAsiaTheme="majorEastAsia"/>
                <w:bCs/>
                <w:sz w:val="20"/>
                <w:szCs w:val="20"/>
              </w:rPr>
            </w:pPr>
            <w:r>
              <w:rPr>
                <w:rFonts w:asciiTheme="majorEastAsia" w:hAnsiTheme="majorEastAsia" w:eastAsiaTheme="majorEastAsia"/>
                <w:b/>
                <w:bCs/>
                <w:sz w:val="20"/>
                <w:szCs w:val="20"/>
              </w:rPr>
              <w:t>2.</w:t>
            </w:r>
            <w:r>
              <w:rPr>
                <w:rFonts w:hint="eastAsia" w:asciiTheme="majorEastAsia" w:hAnsiTheme="majorEastAsia" w:eastAsiaTheme="majorEastAsia"/>
                <w:b/>
                <w:sz w:val="20"/>
                <w:szCs w:val="20"/>
              </w:rPr>
              <w:t>普通省道项目</w:t>
            </w:r>
            <w:r>
              <w:rPr>
                <w:rFonts w:asciiTheme="majorEastAsia" w:hAnsiTheme="majorEastAsia" w:eastAsiaTheme="majorEastAsia"/>
                <w:b/>
                <w:bCs/>
                <w:sz w:val="20"/>
                <w:szCs w:val="20"/>
              </w:rPr>
              <w:t>：</w:t>
            </w:r>
            <w:r>
              <w:rPr>
                <w:rFonts w:hint="eastAsia" w:asciiTheme="majorEastAsia" w:hAnsiTheme="majorEastAsia" w:eastAsiaTheme="majorEastAsia"/>
                <w:b/>
                <w:sz w:val="20"/>
                <w:szCs w:val="20"/>
              </w:rPr>
              <w:t>续建</w:t>
            </w:r>
            <w:r>
              <w:rPr>
                <w:rFonts w:asciiTheme="majorEastAsia" w:hAnsiTheme="majorEastAsia" w:eastAsiaTheme="majorEastAsia"/>
                <w:b/>
                <w:sz w:val="20"/>
                <w:szCs w:val="20"/>
              </w:rPr>
              <w:t>1</w:t>
            </w:r>
            <w:r>
              <w:rPr>
                <w:rFonts w:hint="eastAsia" w:asciiTheme="majorEastAsia" w:hAnsiTheme="majorEastAsia" w:eastAsiaTheme="majorEastAsia"/>
                <w:b/>
                <w:sz w:val="20"/>
                <w:szCs w:val="20"/>
              </w:rPr>
              <w:t>个</w:t>
            </w:r>
            <w:r>
              <w:rPr>
                <w:rFonts w:asciiTheme="majorEastAsia" w:hAnsiTheme="majorEastAsia" w:eastAsiaTheme="majorEastAsia"/>
                <w:b/>
                <w:sz w:val="20"/>
                <w:szCs w:val="20"/>
              </w:rPr>
              <w:t>项目，</w:t>
            </w:r>
            <w:r>
              <w:rPr>
                <w:rFonts w:hint="eastAsia" w:asciiTheme="majorEastAsia" w:hAnsiTheme="majorEastAsia" w:eastAsiaTheme="majorEastAsia"/>
                <w:b/>
                <w:sz w:val="20"/>
                <w:szCs w:val="20"/>
              </w:rPr>
              <w:t>共计</w:t>
            </w:r>
            <w:r>
              <w:rPr>
                <w:rFonts w:asciiTheme="majorEastAsia" w:hAnsiTheme="majorEastAsia" w:eastAsiaTheme="majorEastAsia"/>
                <w:b/>
                <w:sz w:val="20"/>
                <w:szCs w:val="20"/>
              </w:rPr>
              <w:t>28</w:t>
            </w:r>
            <w:r>
              <w:rPr>
                <w:rFonts w:hint="eastAsia" w:asciiTheme="majorEastAsia" w:hAnsiTheme="majorEastAsia" w:eastAsiaTheme="majorEastAsia"/>
                <w:b/>
                <w:sz w:val="20"/>
                <w:szCs w:val="20"/>
              </w:rPr>
              <w:t>公里</w:t>
            </w:r>
            <w:r>
              <w:rPr>
                <w:rFonts w:asciiTheme="majorEastAsia" w:hAnsiTheme="majorEastAsia" w:eastAsiaTheme="majorEastAsia"/>
                <w:b/>
                <w:sz w:val="20"/>
                <w:szCs w:val="20"/>
              </w:rPr>
              <w:t>，其中二级公路28</w:t>
            </w:r>
            <w:r>
              <w:rPr>
                <w:rFonts w:hint="eastAsia" w:asciiTheme="majorEastAsia" w:hAnsiTheme="majorEastAsia" w:eastAsiaTheme="majorEastAsia"/>
                <w:b/>
                <w:sz w:val="20"/>
                <w:szCs w:val="20"/>
              </w:rPr>
              <w:t>公里</w:t>
            </w:r>
            <w:r>
              <w:rPr>
                <w:rFonts w:asciiTheme="majorEastAsia" w:hAnsiTheme="majorEastAsia" w:eastAsiaTheme="majorEastAsia"/>
                <w:sz w:val="20"/>
                <w:szCs w:val="20"/>
              </w:rPr>
              <w:t>。</w:t>
            </w:r>
            <w:r>
              <w:rPr>
                <w:rFonts w:hint="eastAsia" w:asciiTheme="majorEastAsia" w:hAnsiTheme="majorEastAsia" w:eastAsiaTheme="majorEastAsia"/>
                <w:sz w:val="20"/>
                <w:szCs w:val="20"/>
              </w:rPr>
              <w:t>S216水城野钟至河洋大桥公路</w:t>
            </w:r>
            <w:r>
              <w:rPr>
                <w:rFonts w:hint="eastAsia" w:asciiTheme="majorEastAsia" w:hAnsiTheme="majorEastAsia" w:eastAsiaTheme="majorEastAsia"/>
                <w:bCs/>
                <w:sz w:val="20"/>
                <w:szCs w:val="20"/>
              </w:rPr>
              <w:t>。</w:t>
            </w:r>
            <w:r>
              <w:rPr>
                <w:rFonts w:asciiTheme="majorEastAsia" w:hAnsiTheme="majorEastAsia" w:eastAsiaTheme="majorEastAsia"/>
                <w:b/>
                <w:bCs/>
                <w:sz w:val="20"/>
                <w:szCs w:val="20"/>
              </w:rPr>
              <w:t>新建1</w:t>
            </w:r>
            <w:r>
              <w:rPr>
                <w:rFonts w:hint="eastAsia" w:asciiTheme="majorEastAsia" w:hAnsiTheme="majorEastAsia" w:eastAsiaTheme="majorEastAsia"/>
                <w:b/>
                <w:bCs/>
                <w:sz w:val="20"/>
                <w:szCs w:val="20"/>
              </w:rPr>
              <w:t>个</w:t>
            </w:r>
            <w:r>
              <w:rPr>
                <w:rFonts w:asciiTheme="majorEastAsia" w:hAnsiTheme="majorEastAsia" w:eastAsiaTheme="majorEastAsia"/>
                <w:b/>
                <w:bCs/>
                <w:sz w:val="20"/>
                <w:szCs w:val="20"/>
              </w:rPr>
              <w:t>项目</w:t>
            </w:r>
            <w:r>
              <w:rPr>
                <w:rFonts w:hint="eastAsia" w:asciiTheme="majorEastAsia" w:hAnsiTheme="majorEastAsia" w:eastAsiaTheme="majorEastAsia"/>
                <w:b/>
                <w:bCs/>
                <w:sz w:val="20"/>
                <w:szCs w:val="20"/>
              </w:rPr>
              <w:t>，</w:t>
            </w:r>
            <w:r>
              <w:rPr>
                <w:rFonts w:asciiTheme="majorEastAsia" w:hAnsiTheme="majorEastAsia" w:eastAsiaTheme="majorEastAsia"/>
                <w:b/>
                <w:bCs/>
                <w:sz w:val="20"/>
                <w:szCs w:val="20"/>
              </w:rPr>
              <w:t>共计25</w:t>
            </w:r>
            <w:r>
              <w:rPr>
                <w:rFonts w:hint="eastAsia" w:asciiTheme="majorEastAsia" w:hAnsiTheme="majorEastAsia" w:eastAsiaTheme="majorEastAsia"/>
                <w:b/>
                <w:bCs/>
                <w:sz w:val="20"/>
                <w:szCs w:val="20"/>
              </w:rPr>
              <w:t>公里</w:t>
            </w:r>
            <w:r>
              <w:rPr>
                <w:rFonts w:asciiTheme="majorEastAsia" w:hAnsiTheme="majorEastAsia" w:eastAsiaTheme="majorEastAsia"/>
                <w:b/>
                <w:bCs/>
                <w:sz w:val="20"/>
                <w:szCs w:val="20"/>
              </w:rPr>
              <w:t>，</w:t>
            </w:r>
            <w:r>
              <w:rPr>
                <w:rFonts w:hint="eastAsia" w:asciiTheme="majorEastAsia" w:hAnsiTheme="majorEastAsia" w:eastAsiaTheme="majorEastAsia"/>
                <w:b/>
                <w:bCs/>
                <w:sz w:val="20"/>
                <w:szCs w:val="20"/>
              </w:rPr>
              <w:t>其中</w:t>
            </w:r>
            <w:r>
              <w:rPr>
                <w:rFonts w:asciiTheme="majorEastAsia" w:hAnsiTheme="majorEastAsia" w:eastAsiaTheme="majorEastAsia"/>
                <w:b/>
                <w:bCs/>
                <w:sz w:val="20"/>
                <w:szCs w:val="20"/>
              </w:rPr>
              <w:t>二级公路25</w:t>
            </w:r>
            <w:r>
              <w:rPr>
                <w:rFonts w:hint="eastAsia" w:asciiTheme="majorEastAsia" w:hAnsiTheme="majorEastAsia" w:eastAsiaTheme="majorEastAsia"/>
                <w:b/>
                <w:bCs/>
                <w:sz w:val="20"/>
                <w:szCs w:val="20"/>
              </w:rPr>
              <w:t>公里。</w:t>
            </w:r>
            <w:r>
              <w:rPr>
                <w:rFonts w:hint="eastAsia" w:asciiTheme="majorEastAsia" w:hAnsiTheme="majorEastAsia" w:eastAsiaTheme="majorEastAsia"/>
                <w:bCs/>
                <w:sz w:val="20"/>
                <w:szCs w:val="20"/>
              </w:rPr>
              <w:t>S217盘州界牌至保基公路。</w:t>
            </w:r>
          </w:p>
          <w:p>
            <w:pPr>
              <w:ind w:firstLine="343" w:firstLineChars="171"/>
              <w:rPr>
                <w:rFonts w:asciiTheme="majorEastAsia" w:hAnsiTheme="majorEastAsia" w:eastAsiaTheme="majorEastAsia"/>
                <w:bCs/>
                <w:sz w:val="20"/>
                <w:szCs w:val="20"/>
              </w:rPr>
            </w:pPr>
            <w:r>
              <w:rPr>
                <w:rFonts w:hint="eastAsia" w:asciiTheme="majorEastAsia" w:hAnsiTheme="majorEastAsia" w:eastAsiaTheme="majorEastAsia"/>
                <w:b/>
                <w:sz w:val="20"/>
                <w:szCs w:val="20"/>
              </w:rPr>
              <w:t>3</w:t>
            </w:r>
            <w:r>
              <w:rPr>
                <w:rFonts w:asciiTheme="majorEastAsia" w:hAnsiTheme="majorEastAsia" w:eastAsiaTheme="majorEastAsia"/>
                <w:b/>
                <w:sz w:val="20"/>
                <w:szCs w:val="20"/>
              </w:rPr>
              <w:t>.</w:t>
            </w:r>
            <w:r>
              <w:rPr>
                <w:rFonts w:hint="eastAsia" w:asciiTheme="majorEastAsia" w:hAnsiTheme="majorEastAsia" w:eastAsiaTheme="majorEastAsia"/>
                <w:b/>
                <w:sz w:val="20"/>
                <w:szCs w:val="20"/>
              </w:rPr>
              <w:t>其他公路。共</w:t>
            </w:r>
            <w:r>
              <w:rPr>
                <w:rFonts w:asciiTheme="majorEastAsia" w:hAnsiTheme="majorEastAsia" w:eastAsiaTheme="majorEastAsia"/>
                <w:b/>
                <w:sz w:val="20"/>
                <w:szCs w:val="20"/>
              </w:rPr>
              <w:t>3</w:t>
            </w:r>
            <w:r>
              <w:rPr>
                <w:rFonts w:hint="eastAsia" w:asciiTheme="majorEastAsia" w:hAnsiTheme="majorEastAsia" w:eastAsiaTheme="majorEastAsia"/>
                <w:b/>
                <w:sz w:val="20"/>
                <w:szCs w:val="20"/>
              </w:rPr>
              <w:t>个项目，共计</w:t>
            </w:r>
            <w:r>
              <w:t xml:space="preserve"> </w:t>
            </w:r>
            <w:r>
              <w:rPr>
                <w:rFonts w:asciiTheme="majorEastAsia" w:hAnsiTheme="majorEastAsia" w:eastAsiaTheme="majorEastAsia"/>
                <w:b/>
                <w:sz w:val="20"/>
                <w:szCs w:val="20"/>
              </w:rPr>
              <w:t>22.4</w:t>
            </w:r>
            <w:r>
              <w:rPr>
                <w:rFonts w:hint="eastAsia" w:asciiTheme="majorEastAsia" w:hAnsiTheme="majorEastAsia" w:eastAsiaTheme="majorEastAsia"/>
                <w:b/>
                <w:sz w:val="20"/>
                <w:szCs w:val="20"/>
              </w:rPr>
              <w:t xml:space="preserve"> 公里。</w:t>
            </w:r>
            <w:r>
              <w:rPr>
                <w:rFonts w:hint="eastAsia" w:asciiTheme="majorEastAsia" w:hAnsiTheme="majorEastAsia" w:eastAsiaTheme="majorEastAsia"/>
                <w:bCs/>
                <w:sz w:val="20"/>
                <w:szCs w:val="20"/>
              </w:rPr>
              <w:t>玉舍大田至老凹营公路、花戛乡政府至安盘高速互通公路、妥乐至石桥一级公路。</w:t>
            </w:r>
          </w:p>
        </w:tc>
      </w:tr>
      <w:bookmarkEnd w:id="717"/>
    </w:tbl>
    <w:p>
      <w:pPr>
        <w:pStyle w:val="6"/>
        <w:rPr>
          <w:rFonts w:asciiTheme="majorEastAsia" w:hAnsiTheme="majorEastAsia" w:eastAsiaTheme="majorEastAsia"/>
        </w:rPr>
      </w:pPr>
      <w:bookmarkStart w:id="718" w:name="_Hlk66383813"/>
      <w:r>
        <w:rPr>
          <w:rFonts w:hint="eastAsia" w:asciiTheme="majorEastAsia" w:hAnsiTheme="majorEastAsia" w:eastAsiaTheme="majorEastAsia"/>
        </w:rPr>
        <w:t>（三）优先发展农村地区公路建设，全面推进乡村振兴。</w:t>
      </w:r>
    </w:p>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为深入贯彻落实国家、省、市关于巩固脱贫攻坚成果同乡村振兴有效衔接，高质量推进易地扶贫搬迁后续扶持，需要结合乡村振兴战略，进一步聚焦后续基础设施建设与产业发展。易地扶贫搬迁工作中，需加快补齐农村交通设施短板，推动实现短板弱项全面补齐、全面规范、全面提升、全面达标。</w:t>
      </w:r>
      <w:r>
        <w:rPr>
          <w:rFonts w:asciiTheme="majorEastAsia" w:hAnsiTheme="majorEastAsia" w:eastAsiaTheme="majorEastAsia"/>
          <w:szCs w:val="28"/>
        </w:rPr>
        <w:t>按照巩固成果、提升品质的思路和</w:t>
      </w:r>
      <w:r>
        <w:rPr>
          <w:rFonts w:hint="eastAsia" w:asciiTheme="majorEastAsia" w:hAnsiTheme="majorEastAsia" w:eastAsiaTheme="majorEastAsia"/>
          <w:szCs w:val="28"/>
        </w:rPr>
        <w:t>“补短板</w:t>
      </w:r>
      <w:r>
        <w:rPr>
          <w:rFonts w:asciiTheme="majorEastAsia" w:hAnsiTheme="majorEastAsia" w:eastAsiaTheme="majorEastAsia"/>
          <w:szCs w:val="28"/>
        </w:rPr>
        <w:t>、提品质、</w:t>
      </w:r>
      <w:r>
        <w:rPr>
          <w:rFonts w:hint="eastAsia" w:asciiTheme="majorEastAsia" w:hAnsiTheme="majorEastAsia" w:eastAsiaTheme="majorEastAsia"/>
          <w:szCs w:val="28"/>
        </w:rPr>
        <w:t>促融合</w:t>
      </w:r>
      <w:r>
        <w:rPr>
          <w:rFonts w:asciiTheme="majorEastAsia" w:hAnsiTheme="majorEastAsia" w:eastAsiaTheme="majorEastAsia"/>
          <w:szCs w:val="28"/>
        </w:rPr>
        <w:t>、强服务、保</w:t>
      </w:r>
      <w:r>
        <w:rPr>
          <w:rFonts w:hint="eastAsia" w:asciiTheme="majorEastAsia" w:hAnsiTheme="majorEastAsia" w:eastAsiaTheme="majorEastAsia"/>
          <w:szCs w:val="28"/>
        </w:rPr>
        <w:t>安健”</w:t>
      </w:r>
      <w:r>
        <w:rPr>
          <w:rFonts w:asciiTheme="majorEastAsia" w:hAnsiTheme="majorEastAsia" w:eastAsiaTheme="majorEastAsia"/>
          <w:szCs w:val="28"/>
        </w:rPr>
        <w:t>的方针，以提高交通运输的</w:t>
      </w:r>
      <w:r>
        <w:rPr>
          <w:rFonts w:hint="eastAsia" w:asciiTheme="majorEastAsia" w:hAnsiTheme="majorEastAsia" w:eastAsiaTheme="majorEastAsia"/>
          <w:szCs w:val="28"/>
        </w:rPr>
        <w:t>高质量发展</w:t>
      </w:r>
      <w:r>
        <w:rPr>
          <w:rFonts w:asciiTheme="majorEastAsia" w:hAnsiTheme="majorEastAsia" w:eastAsiaTheme="majorEastAsia"/>
          <w:szCs w:val="28"/>
        </w:rPr>
        <w:t>和效益为主线，进一步完善农村公路网络，着力提高农村交通安全水平和服务能力，实现“建好、管好、护好、运营好”农村公路的目标。</w:t>
      </w:r>
    </w:p>
    <w:p>
      <w:pPr>
        <w:ind w:firstLine="562" w:firstLineChars="200"/>
        <w:rPr>
          <w:rFonts w:asciiTheme="majorEastAsia" w:hAnsiTheme="majorEastAsia" w:eastAsiaTheme="majorEastAsia"/>
          <w:szCs w:val="28"/>
        </w:rPr>
      </w:pPr>
      <w:r>
        <w:rPr>
          <w:rFonts w:asciiTheme="majorEastAsia" w:hAnsiTheme="majorEastAsia" w:eastAsiaTheme="majorEastAsia"/>
          <w:b/>
          <w:bCs/>
          <w:szCs w:val="28"/>
        </w:rPr>
        <w:t>——深入推进示范市创建，带动农村公路高质量发展。</w:t>
      </w:r>
      <w:r>
        <w:rPr>
          <w:rFonts w:asciiTheme="majorEastAsia" w:hAnsiTheme="majorEastAsia" w:eastAsiaTheme="majorEastAsia"/>
          <w:szCs w:val="28"/>
        </w:rPr>
        <w:t>按照“典型带动、示范引领”的要求，</w:t>
      </w:r>
      <w:r>
        <w:rPr>
          <w:rFonts w:hint="eastAsia" w:asciiTheme="majorEastAsia" w:hAnsiTheme="majorEastAsia" w:eastAsiaTheme="majorEastAsia"/>
          <w:szCs w:val="28"/>
        </w:rPr>
        <w:t>深入推进交通强国建设试点任务——“四好农村路”示范市创建，出台《六盘水市“四好农村路”示范市实施方案》，推动农村公路由规模扩展向结构优化、等级提升、服务提质、管理增效转变，实现“建好、管好、护好、运营好”农村公路的目标。力争在2022年创建成为“四好农村路”全国示范市。</w:t>
      </w:r>
    </w:p>
    <w:bookmarkEnd w:id="718"/>
    <w:p>
      <w:pPr>
        <w:ind w:firstLine="562" w:firstLineChars="200"/>
        <w:rPr>
          <w:rFonts w:asciiTheme="majorEastAsia" w:hAnsiTheme="majorEastAsia" w:eastAsiaTheme="majorEastAsia"/>
          <w:szCs w:val="28"/>
        </w:rPr>
      </w:pPr>
      <w:r>
        <w:rPr>
          <w:rFonts w:asciiTheme="majorEastAsia" w:hAnsiTheme="majorEastAsia" w:eastAsiaTheme="majorEastAsia"/>
          <w:b/>
          <w:bCs/>
          <w:szCs w:val="28"/>
        </w:rPr>
        <w:t>——打造美丽乡村路，服务乡村振兴。</w:t>
      </w:r>
      <w:r>
        <w:rPr>
          <w:rFonts w:asciiTheme="majorEastAsia" w:hAnsiTheme="majorEastAsia" w:eastAsiaTheme="majorEastAsia"/>
          <w:szCs w:val="28"/>
        </w:rPr>
        <w:t>将“交通+旅游+产业”模式引入“四好农村路”建设，围绕旅游发展、产业带动、乡村振兴，打造旅游景观公路、产业致富路，美丽乡村路。重点以县乡道改造为契机，遴选工程基础较好、沿线风景较美的路段，通过统一标志标识、景观美化提升、服务设施完善、路域环境优化、链接美丽乡村等方式，打造“多彩贵州美丽乡村示范路线”，为乡村休闲旅游发展和特色小镇建设提供支撑，切实服务好乡村振兴战略。</w:t>
      </w:r>
    </w:p>
    <w:p>
      <w:pPr>
        <w:ind w:firstLine="562" w:firstLineChars="200"/>
        <w:rPr>
          <w:rFonts w:asciiTheme="majorEastAsia" w:hAnsiTheme="majorEastAsia" w:eastAsiaTheme="majorEastAsia"/>
          <w:szCs w:val="28"/>
        </w:rPr>
      </w:pPr>
      <w:bookmarkStart w:id="719" w:name="_Hlk57302085"/>
      <w:r>
        <w:rPr>
          <w:rFonts w:asciiTheme="majorEastAsia" w:hAnsiTheme="majorEastAsia" w:eastAsiaTheme="majorEastAsia"/>
          <w:b/>
          <w:bCs/>
          <w:szCs w:val="28"/>
        </w:rPr>
        <w:t>——</w:t>
      </w:r>
      <w:bookmarkEnd w:id="719"/>
      <w:r>
        <w:rPr>
          <w:rFonts w:hint="eastAsia" w:asciiTheme="majorEastAsia" w:hAnsiTheme="majorEastAsia" w:eastAsiaTheme="majorEastAsia"/>
          <w:b/>
          <w:bCs/>
          <w:szCs w:val="28"/>
        </w:rPr>
        <w:t>加快推进乡镇通二级以上公路建设，提升地区交通服务品质</w:t>
      </w:r>
      <w:r>
        <w:rPr>
          <w:rFonts w:asciiTheme="majorEastAsia" w:hAnsiTheme="majorEastAsia" w:eastAsiaTheme="majorEastAsia"/>
          <w:b/>
          <w:bCs/>
          <w:szCs w:val="28"/>
        </w:rPr>
        <w:t>。</w:t>
      </w:r>
      <w:r>
        <w:rPr>
          <w:rFonts w:asciiTheme="majorEastAsia" w:hAnsiTheme="majorEastAsia" w:eastAsiaTheme="majorEastAsia"/>
          <w:szCs w:val="28"/>
        </w:rPr>
        <w:t>继续加强重要县乡道改造，促进县乡道通行能力提升和路况改善。结合发展需求和资金情况，推进公路的等级化改造，增加铺装路面比例，满足客运班车以及大型农业机械的通行需求。连接乡镇的路线结合交通需求实际，提升至</w:t>
      </w:r>
      <w:r>
        <w:rPr>
          <w:rFonts w:hint="eastAsia" w:asciiTheme="majorEastAsia" w:hAnsiTheme="majorEastAsia" w:eastAsiaTheme="majorEastAsia"/>
          <w:szCs w:val="28"/>
        </w:rPr>
        <w:t>二</w:t>
      </w:r>
      <w:r>
        <w:rPr>
          <w:rFonts w:asciiTheme="majorEastAsia" w:hAnsiTheme="majorEastAsia" w:eastAsiaTheme="majorEastAsia"/>
          <w:szCs w:val="28"/>
        </w:rPr>
        <w:t>级及以上公路标准。</w:t>
      </w:r>
      <w:r>
        <w:rPr>
          <w:rFonts w:hint="eastAsia" w:asciiTheme="majorEastAsia" w:hAnsiTheme="majorEastAsia" w:eastAsiaTheme="majorEastAsia"/>
          <w:szCs w:val="28"/>
        </w:rPr>
        <w:t>十四五期，将督促业主单位积极筹集建设资金，加快项目建设，力争实现全市所有乡镇通二级公路。</w:t>
      </w:r>
    </w:p>
    <w:p>
      <w:pPr>
        <w:ind w:firstLine="562" w:firstLineChars="200"/>
        <w:rPr>
          <w:rFonts w:asciiTheme="majorEastAsia" w:hAnsiTheme="majorEastAsia" w:eastAsiaTheme="majorEastAsia"/>
          <w:szCs w:val="28"/>
          <w:highlight w:val="yellow"/>
        </w:rPr>
      </w:pPr>
      <w:r>
        <w:rPr>
          <w:rFonts w:asciiTheme="majorEastAsia" w:hAnsiTheme="majorEastAsia" w:eastAsiaTheme="majorEastAsia"/>
          <w:b/>
          <w:bCs/>
          <w:szCs w:val="28"/>
        </w:rPr>
        <w:t>——</w:t>
      </w:r>
      <w:r>
        <w:rPr>
          <w:rFonts w:hint="eastAsia" w:asciiTheme="majorEastAsia" w:hAnsiTheme="majorEastAsia" w:eastAsiaTheme="majorEastAsia"/>
          <w:b/>
          <w:bCs/>
          <w:szCs w:val="28"/>
        </w:rPr>
        <w:t>巩固交通脱贫攻坚，推进县乡道升级改造和路面提升。</w:t>
      </w:r>
      <w:r>
        <w:rPr>
          <w:rFonts w:hint="eastAsia" w:asciiTheme="majorEastAsia" w:hAnsiTheme="majorEastAsia" w:eastAsiaTheme="majorEastAsia"/>
          <w:szCs w:val="28"/>
        </w:rPr>
        <w:t>通过实施县乡公路改造项目和路面改善提升工程，切实打通了老百姓致富的最后一公里，公路路网结构日趋完善，极大的满足了人民群众的出行需求，有效的解决了农村内联外通的问题。</w:t>
      </w:r>
    </w:p>
    <w:p>
      <w:pPr>
        <w:ind w:firstLine="562" w:firstLineChars="200"/>
        <w:rPr>
          <w:rFonts w:asciiTheme="majorEastAsia" w:hAnsiTheme="majorEastAsia" w:eastAsiaTheme="majorEastAsia"/>
          <w:szCs w:val="28"/>
        </w:rPr>
      </w:pPr>
      <w:r>
        <w:rPr>
          <w:rFonts w:asciiTheme="majorEastAsia" w:hAnsiTheme="majorEastAsia" w:eastAsiaTheme="majorEastAsia"/>
          <w:b/>
          <w:bCs/>
          <w:szCs w:val="28"/>
        </w:rPr>
        <w:t>——</w:t>
      </w:r>
      <w:r>
        <w:rPr>
          <w:rFonts w:hint="eastAsia" w:asciiTheme="majorEastAsia" w:hAnsiTheme="majorEastAsia" w:eastAsiaTheme="majorEastAsia"/>
          <w:b/>
          <w:bCs/>
          <w:szCs w:val="28"/>
        </w:rPr>
        <w:t>推进建制村通双车道工程，提高农村公路通行服务水平</w:t>
      </w:r>
      <w:r>
        <w:rPr>
          <w:rFonts w:asciiTheme="majorEastAsia" w:hAnsiTheme="majorEastAsia" w:eastAsiaTheme="majorEastAsia"/>
          <w:b/>
          <w:bCs/>
          <w:szCs w:val="28"/>
        </w:rPr>
        <w:t>。</w:t>
      </w:r>
      <w:r>
        <w:rPr>
          <w:rFonts w:asciiTheme="majorEastAsia" w:hAnsiTheme="majorEastAsia" w:eastAsiaTheme="majorEastAsia"/>
          <w:szCs w:val="28"/>
        </w:rPr>
        <w:t>结合村镇布局、经济和人口分布、城镇化发展需求，考虑地形条件和自然环境，加快通往主要产业经济节点的农村公路建设，</w:t>
      </w:r>
      <w:r>
        <w:rPr>
          <w:rFonts w:hint="eastAsia" w:asciiTheme="majorEastAsia" w:hAnsiTheme="majorEastAsia" w:eastAsiaTheme="majorEastAsia"/>
          <w:szCs w:val="28"/>
        </w:rPr>
        <w:t>进一步提高农村道路通畅能力，为全市乡村振兴提供更加便利的交通支撑。</w:t>
      </w:r>
    </w:p>
    <w:p>
      <w:pPr>
        <w:ind w:firstLine="562" w:firstLineChars="200"/>
        <w:rPr>
          <w:rFonts w:asciiTheme="majorEastAsia" w:hAnsiTheme="majorEastAsia" w:eastAsiaTheme="majorEastAsia"/>
          <w:szCs w:val="28"/>
        </w:rPr>
      </w:pPr>
      <w:r>
        <w:rPr>
          <w:rFonts w:asciiTheme="majorEastAsia" w:hAnsiTheme="majorEastAsia" w:eastAsiaTheme="majorEastAsia"/>
          <w:b/>
          <w:bCs/>
          <w:szCs w:val="28"/>
        </w:rPr>
        <w:t>——切实提高农村公路安全保障水平。</w:t>
      </w:r>
      <w:r>
        <w:rPr>
          <w:rFonts w:asciiTheme="majorEastAsia" w:hAnsiTheme="majorEastAsia" w:eastAsiaTheme="majorEastAsia"/>
          <w:szCs w:val="28"/>
        </w:rPr>
        <w:t>推进农村公路安全生命防护工程建设，加快完善农村公路防护设施，尤其是地形、气候条件复杂的山区农村公路，加强急弯陡坡、临水临崖等高风险路段整治，不断提高农村公路抗灾能力和农村交通安全水平。</w:t>
      </w:r>
      <w:r>
        <w:rPr>
          <w:rFonts w:hint="eastAsia" w:asciiTheme="majorEastAsia" w:hAnsiTheme="majorEastAsia" w:eastAsiaTheme="majorEastAsia"/>
          <w:szCs w:val="28"/>
        </w:rPr>
        <w:t>加大对农村公路安全隐患进行处治力度，</w:t>
      </w:r>
      <w:r>
        <w:rPr>
          <w:rFonts w:asciiTheme="majorEastAsia" w:hAnsiTheme="majorEastAsia" w:eastAsiaTheme="majorEastAsia"/>
          <w:szCs w:val="28"/>
        </w:rPr>
        <w:t>消除公路安全隐患，切实改善农村地区出行条件。</w:t>
      </w:r>
      <w:r>
        <w:rPr>
          <w:rFonts w:hint="eastAsia" w:asciiTheme="majorEastAsia" w:hAnsiTheme="majorEastAsia" w:eastAsiaTheme="majorEastAsia"/>
          <w:szCs w:val="28"/>
        </w:rPr>
        <w:t>“十四五”期间，启动实施村公路安防工程2000公里，农村公路四五类危桥改造共计</w:t>
      </w:r>
      <w:r>
        <w:rPr>
          <w:rFonts w:asciiTheme="majorEastAsia" w:hAnsiTheme="majorEastAsia" w:eastAsiaTheme="majorEastAsia"/>
          <w:szCs w:val="28"/>
        </w:rPr>
        <w:t>18</w:t>
      </w:r>
      <w:r>
        <w:rPr>
          <w:rFonts w:hint="eastAsia" w:asciiTheme="majorEastAsia" w:hAnsiTheme="majorEastAsia" w:eastAsiaTheme="majorEastAsia"/>
          <w:szCs w:val="28"/>
        </w:rPr>
        <w:t>座，进一步提升农村公路安全保障能力。继续实施县乡公路路面改善提升工程，使全市部分县乡公路路况得到有效改善，适时启动县乡公路路面改善提升工程1000公里。</w:t>
      </w:r>
    </w:p>
    <w:tbl>
      <w:tblPr>
        <w:tblStyle w:val="19"/>
        <w:tblpPr w:leftFromText="180" w:rightFromText="180" w:vertAnchor="text" w:horzAnchor="margin" w:tblpXSpec="center" w:tblpY="1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17" w:type="dxa"/>
          </w:tcPr>
          <w:p>
            <w:pPr>
              <w:jc w:val="center"/>
              <w:rPr>
                <w:rFonts w:asciiTheme="majorEastAsia" w:hAnsiTheme="majorEastAsia" w:eastAsiaTheme="majorEastAsia"/>
                <w:b/>
                <w:bCs/>
                <w:sz w:val="20"/>
                <w:szCs w:val="20"/>
              </w:rPr>
            </w:pPr>
            <w:r>
              <w:rPr>
                <w:rFonts w:asciiTheme="majorEastAsia" w:hAnsiTheme="majorEastAsia" w:eastAsiaTheme="majorEastAsia"/>
                <w:b/>
                <w:bCs/>
                <w:sz w:val="20"/>
                <w:szCs w:val="20"/>
              </w:rPr>
              <w:t>专栏5-3 “十四五”期</w:t>
            </w:r>
            <w:r>
              <w:rPr>
                <w:rFonts w:hint="eastAsia" w:asciiTheme="majorEastAsia" w:hAnsiTheme="majorEastAsia" w:eastAsiaTheme="majorEastAsia"/>
                <w:b/>
                <w:bCs/>
                <w:sz w:val="20"/>
                <w:szCs w:val="20"/>
              </w:rPr>
              <w:t>六盘水市农村地区公路</w:t>
            </w:r>
            <w:r>
              <w:rPr>
                <w:rFonts w:asciiTheme="majorEastAsia" w:hAnsiTheme="majorEastAsia" w:eastAsiaTheme="majorEastAsia"/>
                <w:b/>
                <w:bCs/>
                <w:sz w:val="20"/>
                <w:szCs w:val="20"/>
              </w:rPr>
              <w:t>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217" w:type="dxa"/>
          </w:tcPr>
          <w:p>
            <w:pPr>
              <w:ind w:firstLine="301" w:firstLineChars="150"/>
              <w:rPr>
                <w:rFonts w:asciiTheme="majorEastAsia" w:hAnsiTheme="majorEastAsia" w:eastAsiaTheme="majorEastAsia"/>
                <w:sz w:val="20"/>
                <w:szCs w:val="20"/>
              </w:rPr>
            </w:pPr>
            <w:r>
              <w:rPr>
                <w:rFonts w:hint="eastAsia" w:asciiTheme="majorEastAsia" w:hAnsiTheme="majorEastAsia" w:eastAsiaTheme="majorEastAsia"/>
                <w:b/>
                <w:sz w:val="20"/>
                <w:szCs w:val="20"/>
              </w:rPr>
              <w:t>1.乡镇</w:t>
            </w:r>
            <w:r>
              <w:rPr>
                <w:rFonts w:asciiTheme="majorEastAsia" w:hAnsiTheme="majorEastAsia" w:eastAsiaTheme="majorEastAsia"/>
                <w:b/>
                <w:sz w:val="20"/>
                <w:szCs w:val="20"/>
              </w:rPr>
              <w:t>通二级公路：</w:t>
            </w:r>
            <w:r>
              <w:rPr>
                <w:rFonts w:hint="eastAsia" w:asciiTheme="majorEastAsia" w:hAnsiTheme="majorEastAsia" w:eastAsiaTheme="majorEastAsia"/>
                <w:b/>
                <w:sz w:val="20"/>
                <w:szCs w:val="20"/>
              </w:rPr>
              <w:t>共计</w:t>
            </w:r>
            <w:r>
              <w:rPr>
                <w:rFonts w:asciiTheme="majorEastAsia" w:hAnsiTheme="majorEastAsia" w:eastAsiaTheme="majorEastAsia"/>
                <w:b/>
                <w:sz w:val="20"/>
                <w:szCs w:val="20"/>
              </w:rPr>
              <w:t>336</w:t>
            </w:r>
            <w:r>
              <w:rPr>
                <w:rFonts w:hint="eastAsia" w:asciiTheme="majorEastAsia" w:hAnsiTheme="majorEastAsia" w:eastAsiaTheme="majorEastAsia"/>
                <w:b/>
                <w:sz w:val="20"/>
                <w:szCs w:val="20"/>
              </w:rPr>
              <w:t>公里</w:t>
            </w:r>
            <w:r>
              <w:rPr>
                <w:rFonts w:asciiTheme="majorEastAsia" w:hAnsiTheme="majorEastAsia" w:eastAsiaTheme="majorEastAsia"/>
                <w:b/>
                <w:sz w:val="20"/>
                <w:szCs w:val="20"/>
              </w:rPr>
              <w:t>，</w:t>
            </w:r>
            <w:r>
              <w:rPr>
                <w:rFonts w:hint="eastAsia" w:asciiTheme="majorEastAsia" w:hAnsiTheme="majorEastAsia" w:eastAsiaTheme="majorEastAsia"/>
                <w:b/>
                <w:sz w:val="20"/>
                <w:szCs w:val="20"/>
              </w:rPr>
              <w:t>共</w:t>
            </w:r>
            <w:r>
              <w:rPr>
                <w:rFonts w:asciiTheme="majorEastAsia" w:hAnsiTheme="majorEastAsia" w:eastAsiaTheme="majorEastAsia"/>
                <w:b/>
                <w:sz w:val="20"/>
                <w:szCs w:val="20"/>
              </w:rPr>
              <w:t>25</w:t>
            </w:r>
            <w:r>
              <w:rPr>
                <w:rFonts w:hint="eastAsia" w:asciiTheme="majorEastAsia" w:hAnsiTheme="majorEastAsia" w:eastAsiaTheme="majorEastAsia"/>
                <w:b/>
                <w:sz w:val="20"/>
                <w:szCs w:val="20"/>
              </w:rPr>
              <w:t>个项目</w:t>
            </w:r>
            <w:r>
              <w:rPr>
                <w:rFonts w:asciiTheme="majorEastAsia" w:hAnsiTheme="majorEastAsia" w:eastAsiaTheme="majorEastAsia"/>
                <w:b/>
                <w:sz w:val="20"/>
                <w:szCs w:val="20"/>
              </w:rPr>
              <w:t>。</w:t>
            </w:r>
            <w:r>
              <w:rPr>
                <w:rFonts w:hint="eastAsia" w:asciiTheme="majorEastAsia" w:hAnsiTheme="majorEastAsia" w:eastAsiaTheme="majorEastAsia"/>
                <w:sz w:val="20"/>
                <w:szCs w:val="20"/>
              </w:rPr>
              <w:t>六枝岩脚至岩脚互通公路、X220六枝大用至木岗公路、S310六枝特区大草坝至新华公路、S214六枝特区梭戛至岩脚公路、X014六枝牛场至新场互通公路、X222六枝中寨至双夕公路、S318盘州新民至普田公路、S317盘州竹海至滑石板公路、S218盘州乌蒙至坪地公路等。</w:t>
            </w:r>
          </w:p>
          <w:p>
            <w:pPr>
              <w:ind w:firstLine="301" w:firstLineChars="150"/>
              <w:rPr>
                <w:rFonts w:asciiTheme="majorEastAsia" w:hAnsiTheme="majorEastAsia" w:eastAsiaTheme="majorEastAsia"/>
                <w:sz w:val="20"/>
                <w:szCs w:val="20"/>
              </w:rPr>
            </w:pPr>
            <w:r>
              <w:rPr>
                <w:rFonts w:asciiTheme="majorEastAsia" w:hAnsiTheme="majorEastAsia" w:eastAsiaTheme="majorEastAsia"/>
                <w:b/>
                <w:sz w:val="20"/>
                <w:szCs w:val="20"/>
              </w:rPr>
              <w:t>2</w:t>
            </w:r>
            <w:r>
              <w:rPr>
                <w:rFonts w:hint="eastAsia" w:asciiTheme="majorEastAsia" w:hAnsiTheme="majorEastAsia" w:eastAsiaTheme="majorEastAsia"/>
                <w:b/>
                <w:sz w:val="20"/>
                <w:szCs w:val="20"/>
              </w:rPr>
              <w:t>.安全防护工程：</w:t>
            </w:r>
            <w:r>
              <w:rPr>
                <w:rFonts w:hint="eastAsia" w:asciiTheme="majorEastAsia" w:hAnsiTheme="majorEastAsia" w:eastAsiaTheme="majorEastAsia"/>
                <w:sz w:val="20"/>
                <w:szCs w:val="20"/>
              </w:rPr>
              <w:t>启动实施村道安防工程2000公里。</w:t>
            </w:r>
          </w:p>
          <w:p>
            <w:pPr>
              <w:ind w:firstLine="301" w:firstLineChars="150"/>
              <w:rPr>
                <w:rFonts w:asciiTheme="majorEastAsia" w:hAnsiTheme="majorEastAsia" w:eastAsiaTheme="majorEastAsia"/>
                <w:sz w:val="20"/>
                <w:szCs w:val="20"/>
              </w:rPr>
            </w:pPr>
            <w:r>
              <w:rPr>
                <w:rFonts w:asciiTheme="majorEastAsia" w:hAnsiTheme="majorEastAsia" w:eastAsiaTheme="majorEastAsia"/>
                <w:b/>
                <w:bCs/>
                <w:sz w:val="20"/>
                <w:szCs w:val="20"/>
              </w:rPr>
              <w:t>3.</w:t>
            </w:r>
            <w:r>
              <w:rPr>
                <w:rFonts w:hint="eastAsia" w:asciiTheme="majorEastAsia" w:hAnsiTheme="majorEastAsia" w:eastAsiaTheme="majorEastAsia"/>
                <w:b/>
                <w:bCs/>
                <w:sz w:val="20"/>
                <w:szCs w:val="20"/>
              </w:rPr>
              <w:t>县乡公路路面改善提升工程</w:t>
            </w:r>
            <w:r>
              <w:rPr>
                <w:rFonts w:hint="eastAsia" w:asciiTheme="majorEastAsia" w:hAnsiTheme="majorEastAsia" w:eastAsiaTheme="majorEastAsia"/>
                <w:sz w:val="20"/>
                <w:szCs w:val="20"/>
              </w:rPr>
              <w:t>：1000公里。</w:t>
            </w:r>
          </w:p>
          <w:p>
            <w:pPr>
              <w:ind w:firstLine="301" w:firstLineChars="150"/>
              <w:rPr>
                <w:rFonts w:asciiTheme="majorEastAsia" w:hAnsiTheme="majorEastAsia" w:eastAsiaTheme="majorEastAsia"/>
                <w:sz w:val="20"/>
                <w:szCs w:val="20"/>
              </w:rPr>
            </w:pPr>
            <w:r>
              <w:rPr>
                <w:rFonts w:asciiTheme="majorEastAsia" w:hAnsiTheme="majorEastAsia" w:eastAsiaTheme="majorEastAsia"/>
                <w:b/>
                <w:bCs/>
                <w:sz w:val="20"/>
                <w:szCs w:val="20"/>
              </w:rPr>
              <w:t>4.</w:t>
            </w:r>
            <w:r>
              <w:rPr>
                <w:rFonts w:hint="eastAsia" w:asciiTheme="majorEastAsia" w:hAnsiTheme="majorEastAsia" w:eastAsiaTheme="majorEastAsia"/>
                <w:b/>
                <w:bCs/>
                <w:sz w:val="20"/>
                <w:szCs w:val="20"/>
              </w:rPr>
              <w:t>危桥改造</w:t>
            </w:r>
            <w:r>
              <w:rPr>
                <w:rFonts w:hint="eastAsia" w:asciiTheme="majorEastAsia" w:hAnsiTheme="majorEastAsia" w:eastAsiaTheme="majorEastAsia"/>
                <w:sz w:val="20"/>
                <w:szCs w:val="20"/>
              </w:rPr>
              <w:t>：1</w:t>
            </w:r>
            <w:r>
              <w:rPr>
                <w:rFonts w:asciiTheme="majorEastAsia" w:hAnsiTheme="majorEastAsia" w:eastAsiaTheme="majorEastAsia"/>
                <w:sz w:val="20"/>
                <w:szCs w:val="20"/>
              </w:rPr>
              <w:t>8</w:t>
            </w:r>
            <w:r>
              <w:rPr>
                <w:rFonts w:hint="eastAsia" w:asciiTheme="majorEastAsia" w:hAnsiTheme="majorEastAsia" w:eastAsiaTheme="majorEastAsia"/>
                <w:sz w:val="20"/>
                <w:szCs w:val="20"/>
              </w:rPr>
              <w:t>座。</w:t>
            </w:r>
          </w:p>
        </w:tc>
      </w:tr>
    </w:tbl>
    <w:p>
      <w:pPr>
        <w:pStyle w:val="6"/>
        <w:rPr>
          <w:rFonts w:asciiTheme="majorEastAsia" w:hAnsiTheme="majorEastAsia" w:eastAsiaTheme="majorEastAsia"/>
        </w:rPr>
      </w:pPr>
      <w:r>
        <w:rPr>
          <w:rFonts w:hint="eastAsia" w:asciiTheme="majorEastAsia" w:hAnsiTheme="majorEastAsia" w:eastAsiaTheme="majorEastAsia"/>
        </w:rPr>
        <w:t>（四）推进水运设施建设，构建陆港融合发展新模式。</w:t>
      </w:r>
    </w:p>
    <w:p>
      <w:pPr>
        <w:ind w:firstLine="562" w:firstLineChars="200"/>
        <w:rPr>
          <w:rFonts w:asciiTheme="majorEastAsia" w:hAnsiTheme="majorEastAsia" w:eastAsiaTheme="majorEastAsia"/>
          <w:szCs w:val="28"/>
        </w:rPr>
      </w:pPr>
      <w:r>
        <w:rPr>
          <w:rFonts w:hint="eastAsia" w:asciiTheme="majorEastAsia" w:hAnsiTheme="majorEastAsia" w:eastAsiaTheme="majorEastAsia"/>
          <w:b/>
          <w:bCs/>
          <w:szCs w:val="28"/>
        </w:rPr>
        <w:t>——继续完善库区航运设施，提高管养水平。</w:t>
      </w:r>
      <w:r>
        <w:rPr>
          <w:rFonts w:hint="eastAsia" w:asciiTheme="majorEastAsia" w:hAnsiTheme="majorEastAsia" w:eastAsiaTheme="majorEastAsia"/>
          <w:szCs w:val="28"/>
        </w:rPr>
        <w:t>全面推进北盘江光照库区等骨干航道建设，实现通航航道等级化，满足重要航道区间通航要求。同时完善库区码头建设，力争达到库区沿岸一个乡镇一个码头。完善航道布局，与航道发展相适应，形成布局合理、功能完善、专业化和高效率的港口枢纽，构建两个重要港口，即逐步推进北盘江六枝港、水城港建设。同时完成万家口子建设工程。推进北盘江流域通江达海工程研究，力争早日建成水路运输大通道。推进智能航运和自动化码头建设。坚持“管养并重、突出重点、分类维护、保障畅通”的原则，加强和规范航道养护管理工作，实行统一领导、分级管理，保障航道畅通，提高航道养护质量和服务水平。</w:t>
      </w:r>
    </w:p>
    <w:p>
      <w:pPr>
        <w:ind w:firstLine="562" w:firstLineChars="200"/>
        <w:rPr>
          <w:rFonts w:asciiTheme="majorEastAsia" w:hAnsiTheme="majorEastAsia" w:eastAsiaTheme="majorEastAsia"/>
          <w:szCs w:val="28"/>
        </w:rPr>
      </w:pPr>
      <w:r>
        <w:rPr>
          <w:rFonts w:asciiTheme="majorEastAsia" w:hAnsiTheme="majorEastAsia" w:eastAsiaTheme="majorEastAsia"/>
          <w:b/>
          <w:bCs/>
          <w:szCs w:val="28"/>
        </w:rPr>
        <w:t>——</w:t>
      </w:r>
      <w:r>
        <w:rPr>
          <w:rFonts w:hint="eastAsia" w:asciiTheme="majorEastAsia" w:hAnsiTheme="majorEastAsia" w:eastAsiaTheme="majorEastAsia"/>
          <w:b/>
          <w:bCs/>
          <w:szCs w:val="28"/>
        </w:rPr>
        <w:t>构建路港融合发展新模式。</w:t>
      </w:r>
      <w:r>
        <w:rPr>
          <w:rFonts w:hint="eastAsia" w:asciiTheme="majorEastAsia" w:hAnsiTheme="majorEastAsia" w:eastAsiaTheme="majorEastAsia"/>
          <w:szCs w:val="28"/>
        </w:rPr>
        <w:t>“十四五”期间</w:t>
      </w:r>
      <w:r>
        <w:rPr>
          <w:rFonts w:hint="eastAsia" w:asciiTheme="majorEastAsia" w:hAnsiTheme="majorEastAsia" w:eastAsiaTheme="majorEastAsia"/>
          <w:b/>
          <w:bCs/>
          <w:szCs w:val="28"/>
        </w:rPr>
        <w:t>，</w:t>
      </w:r>
      <w:r>
        <w:rPr>
          <w:rFonts w:hint="eastAsia" w:asciiTheme="majorEastAsia" w:hAnsiTheme="majorEastAsia" w:eastAsiaTheme="majorEastAsia"/>
          <w:szCs w:val="28"/>
        </w:rPr>
        <w:t>积极协调水运与其他运输方式及周边市、州水运有效衔接，补齐港口集疏运基础设施短板，结合六盘水市高速公路、国省干线、县乡道规划实施，加强重点港口码头集疏运公路建设，尽快形成水陆联运网络，促进我市内河水运与公路等其他运输方式客运“零换乘”，为我市构建现代化综合立体交通网助力。</w:t>
      </w:r>
    </w:p>
    <w:p>
      <w:pPr>
        <w:ind w:firstLine="562" w:firstLineChars="200"/>
        <w:rPr>
          <w:rFonts w:asciiTheme="majorEastAsia" w:hAnsiTheme="majorEastAsia" w:eastAsiaTheme="majorEastAsia"/>
          <w:szCs w:val="28"/>
        </w:rPr>
      </w:pPr>
      <w:bookmarkStart w:id="720" w:name="_Hlk43892741"/>
      <w:r>
        <w:rPr>
          <w:rFonts w:asciiTheme="majorEastAsia" w:hAnsiTheme="majorEastAsia" w:eastAsiaTheme="majorEastAsia"/>
          <w:b/>
          <w:bCs/>
          <w:szCs w:val="28"/>
        </w:rPr>
        <w:t>——</w:t>
      </w:r>
      <w:r>
        <w:rPr>
          <w:rFonts w:hint="eastAsia" w:asciiTheme="majorEastAsia" w:hAnsiTheme="majorEastAsia" w:eastAsiaTheme="majorEastAsia"/>
          <w:b/>
          <w:bCs/>
          <w:szCs w:val="28"/>
        </w:rPr>
        <w:t>推动水路运输可持续发展</w:t>
      </w:r>
      <w:r>
        <w:rPr>
          <w:rFonts w:hint="eastAsia" w:asciiTheme="majorEastAsia" w:hAnsiTheme="majorEastAsia" w:eastAsiaTheme="majorEastAsia"/>
          <w:szCs w:val="28"/>
        </w:rPr>
        <w:t>。积极探索多式联运体系，进一步推进物流降本增效。</w:t>
      </w:r>
      <w:bookmarkEnd w:id="720"/>
      <w:r>
        <w:rPr>
          <w:rFonts w:hint="eastAsia" w:asciiTheme="majorEastAsia" w:hAnsiTheme="majorEastAsia" w:eastAsiaTheme="majorEastAsia"/>
          <w:szCs w:val="28"/>
        </w:rPr>
        <w:t>建立船舶标准化、港口集装箱化，提升货运组织水平，提高现代物流服务水平。着力完善民生便民水运体系和旅游经济水运体系，精准挖掘水运客运量潜力。加快锚地综合服务区建设，加强水路运输体验感。完善市场信用体系，构建诚信友善和谐的水运经营环境。</w:t>
      </w:r>
    </w:p>
    <w:p>
      <w:pPr>
        <w:ind w:firstLine="562" w:firstLineChars="200"/>
        <w:rPr>
          <w:rFonts w:asciiTheme="majorEastAsia" w:hAnsiTheme="majorEastAsia" w:eastAsiaTheme="majorEastAsia"/>
          <w:b/>
          <w:bCs/>
          <w:szCs w:val="28"/>
        </w:rPr>
      </w:pPr>
      <w:r>
        <w:rPr>
          <w:rFonts w:asciiTheme="majorEastAsia" w:hAnsiTheme="majorEastAsia" w:eastAsiaTheme="majorEastAsia"/>
          <w:b/>
          <w:bCs/>
          <w:szCs w:val="28"/>
        </w:rPr>
        <w:t>——</w:t>
      </w:r>
      <w:r>
        <w:rPr>
          <w:rFonts w:hint="eastAsia" w:asciiTheme="majorEastAsia" w:hAnsiTheme="majorEastAsia" w:eastAsiaTheme="majorEastAsia"/>
          <w:b/>
          <w:bCs/>
          <w:szCs w:val="28"/>
        </w:rPr>
        <w:t>推动绿色水运、智慧水运、安全水运健康稳定发展</w:t>
      </w:r>
      <w:r>
        <w:rPr>
          <w:rFonts w:hint="eastAsia" w:asciiTheme="majorEastAsia" w:hAnsiTheme="majorEastAsia" w:eastAsiaTheme="majorEastAsia"/>
          <w:szCs w:val="28"/>
        </w:rPr>
        <w:t>。强化节能减排和防污染治理，以合理用能、提高效率为核心，以运营船舶和港口生产为重点，提升节能理念，转变发展方式，加强可持续发展能力，建设绿色低碳循环水运交通。推动水运信息化建设，实现航务海事数据的汇聚，航道、枢纽、船舶、船员、港口码头等基础数据库对业务系统的支撑率达到100%，建立水运综合管理服务平台。确保六盘水市水运行业水上交通、生产建设、信息、经济、文化各要素总体安全，建立安全管理长效机制，健全安全支撑保障体系。</w:t>
      </w:r>
    </w:p>
    <w:tbl>
      <w:tblPr>
        <w:tblStyle w:val="19"/>
        <w:tblpPr w:leftFromText="180" w:rightFromText="180" w:vertAnchor="text" w:horzAnchor="page" w:tblpX="1881" w:tblpY="198"/>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2" w:type="dxa"/>
          </w:tcPr>
          <w:p>
            <w:pPr>
              <w:spacing w:line="480" w:lineRule="auto"/>
              <w:jc w:val="center"/>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专栏5</w:t>
            </w:r>
            <w:r>
              <w:rPr>
                <w:rFonts w:asciiTheme="majorEastAsia" w:hAnsiTheme="majorEastAsia" w:eastAsiaTheme="majorEastAsia"/>
                <w:b/>
                <w:bCs/>
                <w:sz w:val="20"/>
                <w:szCs w:val="20"/>
              </w:rPr>
              <w:t xml:space="preserve">-4 </w:t>
            </w:r>
            <w:r>
              <w:rPr>
                <w:rFonts w:hint="eastAsia" w:asciiTheme="majorEastAsia" w:hAnsiTheme="majorEastAsia" w:eastAsiaTheme="majorEastAsia"/>
                <w:b/>
                <w:bCs/>
                <w:sz w:val="20"/>
                <w:szCs w:val="20"/>
              </w:rPr>
              <w:t>“十四五”期内河水运重点建设项目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8222" w:type="dxa"/>
          </w:tcPr>
          <w:p>
            <w:pPr>
              <w:rPr>
                <w:rFonts w:asciiTheme="majorEastAsia" w:hAnsiTheme="majorEastAsia" w:eastAsiaTheme="majorEastAsia"/>
                <w:sz w:val="20"/>
                <w:szCs w:val="20"/>
              </w:rPr>
            </w:pPr>
            <w:r>
              <w:rPr>
                <w:rFonts w:cs="宋体" w:asciiTheme="majorEastAsia" w:hAnsiTheme="majorEastAsia" w:eastAsiaTheme="majorEastAsia"/>
                <w:b/>
                <w:bCs/>
                <w:sz w:val="20"/>
                <w:szCs w:val="20"/>
              </w:rPr>
              <w:t>1.</w:t>
            </w:r>
            <w:r>
              <w:rPr>
                <w:rFonts w:hint="eastAsia" w:cs="宋体" w:asciiTheme="majorEastAsia" w:hAnsiTheme="majorEastAsia" w:eastAsiaTheme="majorEastAsia"/>
                <w:b/>
                <w:bCs/>
                <w:sz w:val="20"/>
                <w:szCs w:val="20"/>
              </w:rPr>
              <w:t>“十四五”项目：</w:t>
            </w:r>
            <w:r>
              <w:rPr>
                <w:rFonts w:hint="eastAsia" w:cs="宋体" w:asciiTheme="majorEastAsia" w:hAnsiTheme="majorEastAsia" w:eastAsiaTheme="majorEastAsia"/>
                <w:sz w:val="20"/>
                <w:szCs w:val="20"/>
              </w:rPr>
              <w:t>万家口子旅游航道建设工程（六级航道17.5km，停靠点10个及支持保障系统）</w:t>
            </w:r>
          </w:p>
        </w:tc>
      </w:tr>
    </w:tbl>
    <w:p>
      <w:pPr>
        <w:pStyle w:val="6"/>
        <w:rPr>
          <w:rFonts w:asciiTheme="majorEastAsia" w:hAnsiTheme="majorEastAsia" w:eastAsiaTheme="majorEastAsia"/>
        </w:rPr>
      </w:pPr>
      <w:bookmarkStart w:id="721" w:name="_Hlk53998888"/>
      <w:r>
        <w:rPr>
          <w:rFonts w:hint="eastAsia" w:asciiTheme="majorEastAsia" w:hAnsiTheme="majorEastAsia" w:eastAsiaTheme="majorEastAsia"/>
        </w:rPr>
        <w:t>（五）稳步推进枢纽站场体系建设，完善枢纽集疏运体系。</w:t>
      </w:r>
    </w:p>
    <w:bookmarkEnd w:id="721"/>
    <w:p>
      <w:pPr>
        <w:ind w:firstLine="567"/>
        <w:rPr>
          <w:rFonts w:asciiTheme="majorEastAsia" w:hAnsiTheme="majorEastAsia" w:eastAsiaTheme="majorEastAsia"/>
          <w:szCs w:val="28"/>
        </w:rPr>
      </w:pPr>
      <w:r>
        <w:rPr>
          <w:rFonts w:asciiTheme="majorEastAsia" w:hAnsiTheme="majorEastAsia" w:eastAsiaTheme="majorEastAsia"/>
          <w:b/>
          <w:bCs/>
          <w:szCs w:val="28"/>
        </w:rPr>
        <w:t>——积极推进综合客运枢纽建设。</w:t>
      </w:r>
      <w:r>
        <w:rPr>
          <w:rFonts w:hint="eastAsia" w:asciiTheme="majorEastAsia" w:hAnsiTheme="majorEastAsia" w:eastAsiaTheme="majorEastAsia"/>
          <w:szCs w:val="28"/>
        </w:rPr>
        <w:t>坚持“统一规划、一体设计、同步建设、同期运营、协同管理”，积极推进多种运输方式紧密衔接的综合客运枢纽建设，提升综合客运一体化水平，稳步推进公路、铁路、航空、水运等不同运输方式间客运“零距离换乘”</w:t>
      </w:r>
      <w:r>
        <w:rPr>
          <w:rFonts w:asciiTheme="majorEastAsia" w:hAnsiTheme="majorEastAsia" w:eastAsiaTheme="majorEastAsia"/>
          <w:szCs w:val="28"/>
        </w:rPr>
        <w:t>。</w:t>
      </w:r>
    </w:p>
    <w:p>
      <w:pPr>
        <w:ind w:firstLine="562" w:firstLineChars="200"/>
        <w:rPr>
          <w:b/>
          <w:bCs/>
          <w:szCs w:val="28"/>
        </w:rPr>
      </w:pPr>
      <w:r>
        <w:rPr>
          <w:b/>
          <w:bCs/>
          <w:szCs w:val="28"/>
        </w:rPr>
        <w:t>——积极支持</w:t>
      </w:r>
      <w:r>
        <w:rPr>
          <w:rFonts w:hint="eastAsia"/>
          <w:b/>
          <w:bCs/>
          <w:szCs w:val="28"/>
        </w:rPr>
        <w:t>物流业发展</w:t>
      </w:r>
      <w:r>
        <w:rPr>
          <w:b/>
          <w:bCs/>
          <w:szCs w:val="28"/>
        </w:rPr>
        <w:t>。</w:t>
      </w:r>
      <w:r>
        <w:rPr>
          <w:szCs w:val="28"/>
        </w:rPr>
        <w:t>结合国家有关物流</w:t>
      </w:r>
      <w:r>
        <w:rPr>
          <w:rFonts w:hint="eastAsia"/>
          <w:szCs w:val="28"/>
        </w:rPr>
        <w:t>中心</w:t>
      </w:r>
      <w:r>
        <w:rPr>
          <w:szCs w:val="28"/>
        </w:rPr>
        <w:t>建设的支持政策，</w:t>
      </w:r>
      <w:r>
        <w:rPr>
          <w:rFonts w:hint="eastAsia"/>
          <w:szCs w:val="28"/>
        </w:rPr>
        <w:t>“十四五”期间，</w:t>
      </w:r>
      <w:r>
        <w:rPr>
          <w:szCs w:val="28"/>
        </w:rPr>
        <w:t>积极</w:t>
      </w:r>
      <w:r>
        <w:rPr>
          <w:rFonts w:hint="eastAsia"/>
          <w:szCs w:val="28"/>
        </w:rPr>
        <w:t>助推</w:t>
      </w:r>
      <w:r>
        <w:rPr>
          <w:szCs w:val="28"/>
        </w:rPr>
        <w:t>重点物流</w:t>
      </w:r>
      <w:r>
        <w:rPr>
          <w:rFonts w:hint="eastAsia"/>
          <w:szCs w:val="28"/>
        </w:rPr>
        <w:t>中心</w:t>
      </w:r>
      <w:r>
        <w:rPr>
          <w:szCs w:val="28"/>
        </w:rPr>
        <w:t>建设，引导传统货运场站向物流</w:t>
      </w:r>
      <w:r>
        <w:rPr>
          <w:rFonts w:hint="eastAsia"/>
          <w:szCs w:val="28"/>
        </w:rPr>
        <w:t>中心</w:t>
      </w:r>
      <w:r>
        <w:rPr>
          <w:szCs w:val="28"/>
        </w:rPr>
        <w:t>转型升级。结合港口、高速公路</w:t>
      </w:r>
      <w:r>
        <w:rPr>
          <w:rFonts w:hint="eastAsia"/>
          <w:szCs w:val="28"/>
        </w:rPr>
        <w:t>、铁路</w:t>
      </w:r>
      <w:r>
        <w:rPr>
          <w:szCs w:val="28"/>
        </w:rPr>
        <w:t>建设，统筹推进多式联运型物流</w:t>
      </w:r>
      <w:r>
        <w:rPr>
          <w:rFonts w:hint="eastAsia"/>
          <w:szCs w:val="28"/>
        </w:rPr>
        <w:t>中心</w:t>
      </w:r>
      <w:r>
        <w:rPr>
          <w:szCs w:val="28"/>
        </w:rPr>
        <w:t>建设。</w:t>
      </w:r>
    </w:p>
    <w:p>
      <w:pPr>
        <w:ind w:firstLine="567"/>
        <w:rPr>
          <w:rFonts w:asciiTheme="majorEastAsia" w:hAnsiTheme="majorEastAsia" w:eastAsiaTheme="majorEastAsia"/>
          <w:szCs w:val="28"/>
        </w:rPr>
      </w:pPr>
      <w:r>
        <w:rPr>
          <w:rFonts w:asciiTheme="majorEastAsia" w:hAnsiTheme="majorEastAsia" w:eastAsiaTheme="majorEastAsia"/>
          <w:b/>
          <w:bCs/>
          <w:szCs w:val="28"/>
        </w:rPr>
        <w:t>——进一步完善公路运输站场体系。</w:t>
      </w:r>
      <w:r>
        <w:rPr>
          <w:rFonts w:hint="eastAsia" w:asciiTheme="majorEastAsia" w:hAnsiTheme="majorEastAsia" w:eastAsiaTheme="majorEastAsia"/>
          <w:szCs w:val="28"/>
        </w:rPr>
        <w:t>推进位于区、特区及特大镇区的公路客运站、乡镇客运服务站以及客运班线、包车客运、旅游客运等中途停靠站点建设。稳步推进老旧客运站改造，完善公交接驳等服务功能。结合农村客运发展，对重要乡镇客运站、交管站、公路养护站等站场设施进行改造升级，形成乡镇运输服务站。结合需求实际，适当推进旅游景区客运站点建设。</w:t>
      </w:r>
    </w:p>
    <w:tbl>
      <w:tblPr>
        <w:tblStyle w:val="19"/>
        <w:tblpPr w:leftFromText="180" w:rightFromText="180" w:vertAnchor="text" w:horzAnchor="page" w:tblpX="1881" w:tblpY="198"/>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2" w:type="dxa"/>
          </w:tcPr>
          <w:p>
            <w:pPr>
              <w:spacing w:line="480" w:lineRule="auto"/>
              <w:jc w:val="center"/>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专栏</w:t>
            </w:r>
            <w:r>
              <w:rPr>
                <w:rFonts w:asciiTheme="majorEastAsia" w:hAnsiTheme="majorEastAsia" w:eastAsiaTheme="majorEastAsia"/>
                <w:b/>
                <w:bCs/>
                <w:sz w:val="20"/>
                <w:szCs w:val="20"/>
              </w:rPr>
              <w:t xml:space="preserve">5-5 </w:t>
            </w:r>
            <w:r>
              <w:rPr>
                <w:rFonts w:hint="eastAsia" w:asciiTheme="majorEastAsia" w:hAnsiTheme="majorEastAsia" w:eastAsiaTheme="majorEastAsia"/>
                <w:b/>
                <w:bCs/>
                <w:sz w:val="20"/>
                <w:szCs w:val="20"/>
              </w:rPr>
              <w:t>“十四五”期枢纽站场体系建设项目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22" w:type="dxa"/>
          </w:tcPr>
          <w:p>
            <w:pPr>
              <w:rPr>
                <w:rFonts w:asciiTheme="majorEastAsia" w:hAnsiTheme="majorEastAsia" w:eastAsiaTheme="majorEastAsia"/>
                <w:sz w:val="20"/>
                <w:szCs w:val="20"/>
              </w:rPr>
            </w:pPr>
            <w:r>
              <w:rPr>
                <w:rFonts w:hint="eastAsia" w:asciiTheme="majorEastAsia" w:hAnsiTheme="majorEastAsia" w:eastAsiaTheme="majorEastAsia"/>
                <w:b/>
                <w:sz w:val="20"/>
                <w:szCs w:val="20"/>
              </w:rPr>
              <w:t>1.客运枢纽：续建</w:t>
            </w:r>
            <w:r>
              <w:rPr>
                <w:rFonts w:asciiTheme="majorEastAsia" w:hAnsiTheme="majorEastAsia" w:eastAsiaTheme="majorEastAsia"/>
                <w:b/>
                <w:sz w:val="20"/>
                <w:szCs w:val="20"/>
              </w:rPr>
              <w:t>3</w:t>
            </w:r>
            <w:r>
              <w:rPr>
                <w:rFonts w:hint="eastAsia" w:asciiTheme="majorEastAsia" w:hAnsiTheme="majorEastAsia" w:eastAsiaTheme="majorEastAsia"/>
                <w:b/>
                <w:sz w:val="20"/>
                <w:szCs w:val="20"/>
              </w:rPr>
              <w:t>个客运站。</w:t>
            </w:r>
            <w:r>
              <w:rPr>
                <w:rFonts w:hint="eastAsia" w:asciiTheme="majorEastAsia" w:hAnsiTheme="majorEastAsia" w:eastAsiaTheme="majorEastAsia"/>
                <w:sz w:val="20"/>
                <w:szCs w:val="20"/>
              </w:rPr>
              <w:t>六枝中心客运站、盘州东客运站、水城区东客运站。</w:t>
            </w:r>
          </w:p>
          <w:p>
            <w:pPr>
              <w:rPr>
                <w:rFonts w:asciiTheme="majorEastAsia" w:hAnsiTheme="majorEastAsia" w:eastAsiaTheme="majorEastAsia"/>
                <w:b/>
                <w:sz w:val="20"/>
                <w:szCs w:val="20"/>
              </w:rPr>
            </w:pPr>
            <w:r>
              <w:rPr>
                <w:rFonts w:hint="eastAsia" w:asciiTheme="majorEastAsia" w:hAnsiTheme="majorEastAsia" w:eastAsiaTheme="majorEastAsia"/>
                <w:b/>
                <w:sz w:val="20"/>
                <w:szCs w:val="20"/>
              </w:rPr>
              <w:t>2</w:t>
            </w:r>
            <w:r>
              <w:rPr>
                <w:rFonts w:asciiTheme="majorEastAsia" w:hAnsiTheme="majorEastAsia" w:eastAsiaTheme="majorEastAsia"/>
                <w:b/>
                <w:sz w:val="20"/>
                <w:szCs w:val="20"/>
              </w:rPr>
              <w:t>.</w:t>
            </w:r>
            <w:r>
              <w:rPr>
                <w:rFonts w:hint="eastAsia" w:asciiTheme="majorEastAsia" w:hAnsiTheme="majorEastAsia" w:eastAsiaTheme="majorEastAsia"/>
                <w:b/>
                <w:sz w:val="20"/>
                <w:szCs w:val="20"/>
              </w:rPr>
              <w:t>县级客运站：扩建</w:t>
            </w:r>
            <w:r>
              <w:rPr>
                <w:rFonts w:hint="eastAsia" w:asciiTheme="majorEastAsia" w:hAnsiTheme="majorEastAsia" w:eastAsiaTheme="majorEastAsia"/>
                <w:bCs/>
                <w:sz w:val="20"/>
                <w:szCs w:val="20"/>
              </w:rPr>
              <w:t>盘州汽车站（二级）。</w:t>
            </w:r>
          </w:p>
          <w:p>
            <w:pPr>
              <w:rPr>
                <w:rFonts w:asciiTheme="majorEastAsia" w:hAnsiTheme="majorEastAsia" w:eastAsiaTheme="majorEastAsia"/>
                <w:sz w:val="20"/>
                <w:szCs w:val="20"/>
              </w:rPr>
            </w:pPr>
            <w:r>
              <w:rPr>
                <w:rFonts w:asciiTheme="majorEastAsia" w:hAnsiTheme="majorEastAsia" w:eastAsiaTheme="majorEastAsia"/>
                <w:b/>
                <w:sz w:val="20"/>
                <w:szCs w:val="20"/>
              </w:rPr>
              <w:t>3</w:t>
            </w:r>
            <w:r>
              <w:rPr>
                <w:rFonts w:hint="eastAsia" w:asciiTheme="majorEastAsia" w:hAnsiTheme="majorEastAsia" w:eastAsiaTheme="majorEastAsia"/>
                <w:b/>
                <w:sz w:val="20"/>
                <w:szCs w:val="20"/>
              </w:rPr>
              <w:t>.公交枢纽站：新建</w:t>
            </w:r>
            <w:r>
              <w:rPr>
                <w:rFonts w:asciiTheme="majorEastAsia" w:hAnsiTheme="majorEastAsia" w:eastAsiaTheme="majorEastAsia"/>
                <w:b/>
                <w:sz w:val="20"/>
                <w:szCs w:val="20"/>
              </w:rPr>
              <w:t>8</w:t>
            </w:r>
            <w:r>
              <w:rPr>
                <w:rFonts w:hint="eastAsia" w:asciiTheme="majorEastAsia" w:hAnsiTheme="majorEastAsia" w:eastAsiaTheme="majorEastAsia"/>
                <w:b/>
                <w:sz w:val="20"/>
                <w:szCs w:val="20"/>
              </w:rPr>
              <w:t>个公交枢纽站。</w:t>
            </w:r>
            <w:r>
              <w:rPr>
                <w:rFonts w:hint="eastAsia" w:asciiTheme="majorEastAsia" w:hAnsiTheme="majorEastAsia" w:eastAsiaTheme="majorEastAsia"/>
                <w:sz w:val="20"/>
                <w:szCs w:val="20"/>
              </w:rPr>
              <w:t>六盘水双水停车保养场、高中教育城首末站、红桥充电站、凉都体育中心充电站等。</w:t>
            </w:r>
          </w:p>
          <w:p>
            <w:pPr>
              <w:rPr>
                <w:rFonts w:asciiTheme="majorEastAsia" w:hAnsiTheme="majorEastAsia" w:eastAsiaTheme="majorEastAsia"/>
                <w:b/>
                <w:bCs/>
                <w:sz w:val="20"/>
                <w:szCs w:val="20"/>
              </w:rPr>
            </w:pPr>
            <w:r>
              <w:rPr>
                <w:rFonts w:asciiTheme="majorEastAsia" w:hAnsiTheme="majorEastAsia" w:eastAsiaTheme="majorEastAsia"/>
                <w:b/>
                <w:bCs/>
                <w:sz w:val="20"/>
                <w:szCs w:val="20"/>
              </w:rPr>
              <w:t>4.</w:t>
            </w:r>
            <w:r>
              <w:rPr>
                <w:rFonts w:hint="eastAsia" w:asciiTheme="majorEastAsia" w:hAnsiTheme="majorEastAsia" w:eastAsiaTheme="majorEastAsia"/>
                <w:b/>
                <w:bCs/>
                <w:sz w:val="20"/>
                <w:szCs w:val="20"/>
              </w:rPr>
              <w:t>物流中心：共</w:t>
            </w:r>
            <w:r>
              <w:rPr>
                <w:rFonts w:asciiTheme="majorEastAsia" w:hAnsiTheme="majorEastAsia" w:eastAsiaTheme="majorEastAsia"/>
                <w:b/>
                <w:bCs/>
                <w:sz w:val="20"/>
                <w:szCs w:val="20"/>
              </w:rPr>
              <w:t>1</w:t>
            </w:r>
            <w:r>
              <w:rPr>
                <w:rFonts w:hint="eastAsia" w:asciiTheme="majorEastAsia" w:hAnsiTheme="majorEastAsia" w:eastAsiaTheme="majorEastAsia"/>
                <w:b/>
                <w:bCs/>
                <w:sz w:val="20"/>
                <w:szCs w:val="20"/>
              </w:rPr>
              <w:t>个物流中心。</w:t>
            </w:r>
            <w:r>
              <w:rPr>
                <w:rFonts w:hint="eastAsia" w:asciiTheme="majorEastAsia" w:hAnsiTheme="majorEastAsia" w:eastAsiaTheme="majorEastAsia"/>
                <w:sz w:val="20"/>
                <w:szCs w:val="20"/>
              </w:rPr>
              <w:t>贵州红果经济开发区中心物流园。</w:t>
            </w:r>
          </w:p>
        </w:tc>
      </w:tr>
    </w:tbl>
    <w:p>
      <w:pPr>
        <w:pStyle w:val="6"/>
        <w:rPr>
          <w:rFonts w:asciiTheme="majorEastAsia" w:hAnsiTheme="majorEastAsia" w:eastAsiaTheme="majorEastAsia"/>
        </w:rPr>
      </w:pPr>
      <w:bookmarkStart w:id="722" w:name="_Hlk54023526"/>
      <w:r>
        <w:rPr>
          <w:rFonts w:hint="eastAsia" w:asciiTheme="majorEastAsia" w:hAnsiTheme="majorEastAsia" w:eastAsiaTheme="majorEastAsia"/>
        </w:rPr>
        <w:t>（六）推进交旅产业融合发展，加速产业转型升级。</w:t>
      </w:r>
    </w:p>
    <w:bookmarkEnd w:id="722"/>
    <w:p>
      <w:pPr>
        <w:ind w:firstLine="560" w:firstLineChars="200"/>
        <w:rPr>
          <w:rFonts w:asciiTheme="majorEastAsia" w:hAnsiTheme="majorEastAsia" w:eastAsiaTheme="majorEastAsia"/>
        </w:rPr>
      </w:pPr>
      <w:r>
        <w:rPr>
          <w:rFonts w:hint="eastAsia" w:asciiTheme="majorEastAsia" w:hAnsiTheme="majorEastAsia" w:eastAsiaTheme="majorEastAsia"/>
        </w:rPr>
        <w:t>深入贯彻十九大精神，按照有效实施精准扶贫、全面构建小康社会，建设生态文明等要求，以旅游公路建设为突破口和重要抓手，将全市主要旅游景区连接为一个高效联通的整体，加快构筑开放融合的旅游公路网络，形成旅游路、生态路、文化路、产业路、全路一盘棋的新格局，有利于产业布局和产业转型升级，更有利于加速城镇化和城乡一体化发展，为六盘水市新时代全面建成小康社会奠定坚实的发展基础。</w:t>
      </w:r>
    </w:p>
    <w:p>
      <w:pPr>
        <w:ind w:firstLine="562" w:firstLineChars="200"/>
        <w:rPr>
          <w:rFonts w:asciiTheme="majorEastAsia" w:hAnsiTheme="majorEastAsia" w:eastAsiaTheme="majorEastAsia"/>
        </w:rPr>
      </w:pPr>
      <w:r>
        <w:rPr>
          <w:rFonts w:asciiTheme="majorEastAsia" w:hAnsiTheme="majorEastAsia" w:eastAsiaTheme="majorEastAsia"/>
          <w:b/>
          <w:bCs/>
          <w:szCs w:val="28"/>
        </w:rPr>
        <w:t>——</w:t>
      </w:r>
      <w:r>
        <w:rPr>
          <w:rFonts w:hint="eastAsia" w:asciiTheme="majorEastAsia" w:hAnsiTheme="majorEastAsia" w:eastAsiaTheme="majorEastAsia"/>
          <w:b/>
          <w:bCs/>
          <w:szCs w:val="28"/>
        </w:rPr>
        <w:t>坚持开放融合。</w:t>
      </w:r>
      <w:r>
        <w:rPr>
          <w:rFonts w:asciiTheme="majorEastAsia" w:hAnsiTheme="majorEastAsia" w:eastAsiaTheme="majorEastAsia"/>
        </w:rPr>
        <w:t>充分依托国省干线公路的改造升级和功能提升，打通“断头路”，构筑与国省干线公路衔接融合，对外四通八达，对内各区、主要景区互联互通的旅游公路主体框架，结合未来旅游业的发展需求，不断优化完善布局，形成开放融合的旅游公路网络。</w:t>
      </w:r>
    </w:p>
    <w:p>
      <w:pPr>
        <w:ind w:firstLine="562" w:firstLineChars="200"/>
        <w:rPr>
          <w:rFonts w:asciiTheme="majorEastAsia" w:hAnsiTheme="majorEastAsia" w:eastAsiaTheme="majorEastAsia"/>
        </w:rPr>
      </w:pPr>
      <w:r>
        <w:rPr>
          <w:rFonts w:asciiTheme="majorEastAsia" w:hAnsiTheme="majorEastAsia" w:eastAsiaTheme="majorEastAsia"/>
          <w:b/>
          <w:bCs/>
          <w:szCs w:val="28"/>
        </w:rPr>
        <w:t>——</w:t>
      </w:r>
      <w:r>
        <w:rPr>
          <w:rFonts w:hint="eastAsia" w:asciiTheme="majorEastAsia" w:hAnsiTheme="majorEastAsia" w:eastAsiaTheme="majorEastAsia"/>
          <w:b/>
          <w:bCs/>
          <w:szCs w:val="28"/>
        </w:rPr>
        <w:t>坚持生态优先。</w:t>
      </w:r>
      <w:r>
        <w:rPr>
          <w:rFonts w:asciiTheme="majorEastAsia" w:hAnsiTheme="majorEastAsia" w:eastAsiaTheme="majorEastAsia"/>
        </w:rPr>
        <w:t>在全域旅游发展中，应更加重视生态保护，避免建设过多人造景观。旅游公路规划建设要树立“不破坏就是最大的保护”的理念，坚持最大限度地保护、最小程度的破坏，最强力度的恢复</w:t>
      </w:r>
      <w:r>
        <w:rPr>
          <w:rFonts w:hint="eastAsia" w:asciiTheme="majorEastAsia" w:hAnsiTheme="majorEastAsia" w:eastAsiaTheme="majorEastAsia"/>
        </w:rPr>
        <w:t>，</w:t>
      </w:r>
      <w:r>
        <w:rPr>
          <w:rFonts w:asciiTheme="majorEastAsia" w:hAnsiTheme="majorEastAsia" w:eastAsiaTheme="majorEastAsia"/>
        </w:rPr>
        <w:t>顺应自然、融入自然。</w:t>
      </w:r>
    </w:p>
    <w:p>
      <w:pPr>
        <w:ind w:firstLine="562" w:firstLineChars="200"/>
        <w:rPr>
          <w:rFonts w:asciiTheme="majorEastAsia" w:hAnsiTheme="majorEastAsia" w:eastAsiaTheme="majorEastAsia"/>
        </w:rPr>
      </w:pPr>
      <w:r>
        <w:rPr>
          <w:rFonts w:asciiTheme="majorEastAsia" w:hAnsiTheme="majorEastAsia" w:eastAsiaTheme="majorEastAsia"/>
          <w:b/>
          <w:bCs/>
          <w:szCs w:val="28"/>
        </w:rPr>
        <w:t>——</w:t>
      </w:r>
      <w:r>
        <w:rPr>
          <w:rFonts w:hint="eastAsia" w:asciiTheme="majorEastAsia" w:hAnsiTheme="majorEastAsia" w:eastAsiaTheme="majorEastAsia"/>
          <w:b/>
          <w:bCs/>
          <w:szCs w:val="28"/>
        </w:rPr>
        <w:t>坚持因地制宜</w:t>
      </w:r>
      <w:r>
        <w:rPr>
          <w:rFonts w:hint="eastAsia" w:asciiTheme="majorEastAsia" w:hAnsiTheme="majorEastAsia" w:eastAsiaTheme="majorEastAsia"/>
        </w:rPr>
        <w:t>。</w:t>
      </w:r>
      <w:r>
        <w:rPr>
          <w:rFonts w:asciiTheme="majorEastAsia" w:hAnsiTheme="majorEastAsia" w:eastAsiaTheme="majorEastAsia"/>
        </w:rPr>
        <w:t>充分体现沿途景观特点、地形地貌、历史传承和文化特征，合理确定公路技术等级，科学选择设计速度等关键指标，灵活掌握平面线形、路基宽度等指标，精心规划配套设施，突出不同路段建设主题，使旅游公路“融入环境、不突兀”“统筹发展，有特色”。</w:t>
      </w:r>
    </w:p>
    <w:p>
      <w:pPr>
        <w:ind w:firstLine="562" w:firstLineChars="200"/>
        <w:rPr>
          <w:rFonts w:asciiTheme="majorEastAsia" w:hAnsiTheme="majorEastAsia" w:eastAsiaTheme="majorEastAsia"/>
        </w:rPr>
      </w:pPr>
      <w:r>
        <w:rPr>
          <w:rFonts w:asciiTheme="majorEastAsia" w:hAnsiTheme="majorEastAsia" w:eastAsiaTheme="majorEastAsia"/>
          <w:b/>
          <w:bCs/>
          <w:szCs w:val="28"/>
        </w:rPr>
        <w:t>——积极推进枢纽集疏运路线建设。</w:t>
      </w:r>
      <w:r>
        <w:rPr>
          <w:rFonts w:asciiTheme="majorEastAsia" w:hAnsiTheme="majorEastAsia" w:eastAsiaTheme="majorEastAsia"/>
          <w:szCs w:val="28"/>
        </w:rPr>
        <w:t>找准影响综合交通运输体系整体效率的关键环节和主要短板，精准发力，推动综合运输结构优化与有效衔接。重点从省道、重要县道入手，推进机场、火车站、重要港区、物流园区等集疏运路线建设，完善集疏运体系，实现路线与交通枢纽的顺畅衔接，发挥综合运输的组合优势和整体效率。</w:t>
      </w:r>
    </w:p>
    <w:p>
      <w:pPr>
        <w:ind w:firstLine="560" w:firstLineChars="200"/>
        <w:rPr>
          <w:rFonts w:asciiTheme="majorEastAsia" w:hAnsiTheme="majorEastAsia" w:eastAsiaTheme="majorEastAsia"/>
        </w:rPr>
      </w:pPr>
      <w:r>
        <w:rPr>
          <w:rFonts w:hint="eastAsia" w:asciiTheme="majorEastAsia" w:hAnsiTheme="majorEastAsia" w:eastAsiaTheme="majorEastAsia"/>
        </w:rPr>
        <w:t>“十四五”期，力争启动建设旅游公路</w:t>
      </w:r>
      <w:r>
        <w:rPr>
          <w:rFonts w:asciiTheme="majorEastAsia" w:hAnsiTheme="majorEastAsia" w:eastAsiaTheme="majorEastAsia"/>
          <w:b/>
          <w:bCs/>
          <w:szCs w:val="28"/>
        </w:rPr>
        <w:t>19.2</w:t>
      </w:r>
      <w:r>
        <w:rPr>
          <w:rFonts w:hint="eastAsia" w:asciiTheme="majorEastAsia" w:hAnsiTheme="majorEastAsia" w:eastAsiaTheme="majorEastAsia"/>
        </w:rPr>
        <w:t>公里。推动交旅融合发展，深入贯彻乡村振兴战略，强化旅游路规划建设，促进旅游路产业路助推乡村振兴战略“新引擎”效能，对周边现代农业、乡村旅游等产业发展起到辐射带动作用，巩固和提升脱贫攻坚成果成效，切实提升群众的获得感、幸福感。</w:t>
      </w:r>
    </w:p>
    <w:tbl>
      <w:tblPr>
        <w:tblStyle w:val="19"/>
        <w:tblpPr w:leftFromText="180" w:rightFromText="180" w:vertAnchor="text" w:horzAnchor="margin" w:tblpXSpec="center" w:tblpY="12"/>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784" w:type="dxa"/>
          </w:tcPr>
          <w:p>
            <w:pPr>
              <w:jc w:val="center"/>
              <w:rPr>
                <w:rFonts w:asciiTheme="majorEastAsia" w:hAnsiTheme="majorEastAsia" w:eastAsiaTheme="majorEastAsia"/>
                <w:b/>
                <w:bCs/>
                <w:color w:val="FF0000"/>
                <w:sz w:val="20"/>
                <w:szCs w:val="20"/>
              </w:rPr>
            </w:pPr>
            <w:r>
              <w:rPr>
                <w:rFonts w:asciiTheme="majorEastAsia" w:hAnsiTheme="majorEastAsia" w:eastAsiaTheme="majorEastAsia"/>
                <w:b/>
                <w:bCs/>
                <w:color w:val="000000" w:themeColor="text1"/>
                <w:sz w:val="20"/>
                <w:szCs w:val="20"/>
                <w14:textFill>
                  <w14:solidFill>
                    <w14:schemeClr w14:val="tx1"/>
                  </w14:solidFill>
                </w14:textFill>
              </w:rPr>
              <w:t>专栏</w:t>
            </w:r>
            <w:r>
              <w:rPr>
                <w:rFonts w:hint="eastAsia" w:asciiTheme="majorEastAsia" w:hAnsiTheme="majorEastAsia" w:eastAsiaTheme="majorEastAsia"/>
                <w:b/>
                <w:bCs/>
                <w:color w:val="000000" w:themeColor="text1"/>
                <w:sz w:val="20"/>
                <w:szCs w:val="20"/>
                <w14:textFill>
                  <w14:solidFill>
                    <w14:schemeClr w14:val="tx1"/>
                  </w14:solidFill>
                </w14:textFill>
              </w:rPr>
              <w:t>5</w:t>
            </w:r>
            <w:r>
              <w:rPr>
                <w:rFonts w:asciiTheme="majorEastAsia" w:hAnsiTheme="majorEastAsia" w:eastAsiaTheme="majorEastAsia"/>
                <w:b/>
                <w:bCs/>
                <w:color w:val="000000" w:themeColor="text1"/>
                <w:sz w:val="20"/>
                <w:szCs w:val="20"/>
                <w14:textFill>
                  <w14:solidFill>
                    <w14:schemeClr w14:val="tx1"/>
                  </w14:solidFill>
                </w14:textFill>
              </w:rPr>
              <w:t>-</w:t>
            </w:r>
            <w:r>
              <w:rPr>
                <w:rFonts w:hint="eastAsia" w:asciiTheme="majorEastAsia" w:hAnsiTheme="majorEastAsia" w:eastAsiaTheme="majorEastAsia"/>
                <w:b/>
                <w:bCs/>
                <w:color w:val="000000" w:themeColor="text1"/>
                <w:sz w:val="20"/>
                <w:szCs w:val="20"/>
                <w14:textFill>
                  <w14:solidFill>
                    <w14:schemeClr w14:val="tx1"/>
                  </w14:solidFill>
                </w14:textFill>
              </w:rPr>
              <w:t>6</w:t>
            </w:r>
            <w:r>
              <w:rPr>
                <w:rFonts w:asciiTheme="majorEastAsia" w:hAnsiTheme="majorEastAsia" w:eastAsiaTheme="majorEastAsia"/>
                <w:b/>
                <w:bCs/>
                <w:color w:val="000000" w:themeColor="text1"/>
                <w:sz w:val="20"/>
                <w:szCs w:val="20"/>
                <w14:textFill>
                  <w14:solidFill>
                    <w14:schemeClr w14:val="tx1"/>
                  </w14:solidFill>
                </w14:textFill>
              </w:rPr>
              <w:t xml:space="preserve"> “十四五”期</w:t>
            </w:r>
            <w:r>
              <w:rPr>
                <w:rFonts w:hint="eastAsia" w:asciiTheme="majorEastAsia" w:hAnsiTheme="majorEastAsia" w:eastAsiaTheme="majorEastAsia"/>
                <w:b/>
                <w:bCs/>
                <w:color w:val="000000" w:themeColor="text1"/>
                <w:sz w:val="20"/>
                <w:szCs w:val="20"/>
                <w14:textFill>
                  <w14:solidFill>
                    <w14:schemeClr w14:val="tx1"/>
                  </w14:solidFill>
                </w14:textFill>
              </w:rPr>
              <w:t>六盘水市旅游公路</w:t>
            </w:r>
            <w:r>
              <w:rPr>
                <w:rFonts w:asciiTheme="majorEastAsia" w:hAnsiTheme="majorEastAsia" w:eastAsiaTheme="majorEastAsia"/>
                <w:b/>
                <w:bCs/>
                <w:color w:val="000000" w:themeColor="text1"/>
                <w:sz w:val="20"/>
                <w:szCs w:val="20"/>
                <w14:textFill>
                  <w14:solidFill>
                    <w14:schemeClr w14:val="tx1"/>
                  </w14:solidFill>
                </w14:textFill>
              </w:rPr>
              <w:t>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784" w:type="dxa"/>
          </w:tcPr>
          <w:p>
            <w:pPr>
              <w:pStyle w:val="47"/>
              <w:spacing w:line="560" w:lineRule="exact"/>
              <w:ind w:firstLine="0" w:firstLineChars="0"/>
              <w:rPr>
                <w:rFonts w:cs="Times New Roman" w:asciiTheme="majorEastAsia" w:hAnsiTheme="majorEastAsia" w:eastAsiaTheme="majorEastAsia"/>
                <w:b/>
                <w:sz w:val="20"/>
              </w:rPr>
            </w:pPr>
            <w:r>
              <w:rPr>
                <w:rFonts w:hint="eastAsia" w:cs="Times New Roman" w:asciiTheme="majorEastAsia" w:hAnsiTheme="majorEastAsia" w:eastAsiaTheme="majorEastAsia"/>
                <w:b/>
                <w:sz w:val="20"/>
              </w:rPr>
              <w:t>1.</w:t>
            </w:r>
            <w:bookmarkStart w:id="723" w:name="_Hlk56262191"/>
            <w:r>
              <w:rPr>
                <w:rFonts w:hint="eastAsia" w:cs="Times New Roman" w:asciiTheme="majorEastAsia" w:hAnsiTheme="majorEastAsia" w:eastAsiaTheme="majorEastAsia"/>
                <w:b/>
                <w:sz w:val="20"/>
              </w:rPr>
              <w:t>“十四五”开工项目</w:t>
            </w:r>
            <w:r>
              <w:rPr>
                <w:rFonts w:hint="eastAsia" w:cs="Times New Roman" w:asciiTheme="majorEastAsia" w:hAnsiTheme="majorEastAsia" w:eastAsiaTheme="majorEastAsia"/>
                <w:b/>
                <w:sz w:val="20"/>
              </w:rPr>
              <w:tab/>
            </w:r>
            <w:r>
              <w:rPr>
                <w:rFonts w:hint="eastAsia" w:cs="Times New Roman" w:asciiTheme="majorEastAsia" w:hAnsiTheme="majorEastAsia" w:eastAsiaTheme="majorEastAsia"/>
                <w:b/>
                <w:sz w:val="20"/>
              </w:rPr>
              <w:t>：共计1个项目，改扩建</w:t>
            </w:r>
            <w:r>
              <w:rPr>
                <w:rFonts w:cs="Times New Roman" w:asciiTheme="majorEastAsia" w:hAnsiTheme="majorEastAsia" w:eastAsiaTheme="majorEastAsia"/>
                <w:b/>
                <w:sz w:val="20"/>
              </w:rPr>
              <w:t>19.2</w:t>
            </w:r>
            <w:r>
              <w:rPr>
                <w:rFonts w:hint="eastAsia" w:cs="Times New Roman" w:asciiTheme="majorEastAsia" w:hAnsiTheme="majorEastAsia" w:eastAsiaTheme="majorEastAsia"/>
                <w:b/>
                <w:sz w:val="20"/>
              </w:rPr>
              <w:t>公里</w:t>
            </w:r>
            <w:bookmarkEnd w:id="723"/>
            <w:r>
              <w:rPr>
                <w:rFonts w:hint="eastAsia" w:cs="Times New Roman" w:asciiTheme="majorEastAsia" w:hAnsiTheme="majorEastAsia" w:eastAsiaTheme="majorEastAsia"/>
                <w:b/>
                <w:sz w:val="20"/>
              </w:rPr>
              <w:t>。</w:t>
            </w:r>
            <w:r>
              <w:rPr>
                <w:rFonts w:hint="eastAsia" w:cs="Times New Roman" w:asciiTheme="majorEastAsia" w:hAnsiTheme="majorEastAsia" w:eastAsiaTheme="majorEastAsia"/>
                <w:sz w:val="20"/>
              </w:rPr>
              <w:t>六枝特区西嘎至毛口“渡改路”工程。</w:t>
            </w:r>
          </w:p>
        </w:tc>
      </w:tr>
    </w:tbl>
    <w:p>
      <w:pPr>
        <w:pStyle w:val="6"/>
        <w:rPr>
          <w:rFonts w:asciiTheme="majorEastAsia" w:hAnsiTheme="majorEastAsia" w:eastAsiaTheme="majorEastAsia"/>
        </w:rPr>
      </w:pPr>
      <w:r>
        <w:rPr>
          <w:rFonts w:hint="eastAsia" w:asciiTheme="majorEastAsia" w:hAnsiTheme="majorEastAsia" w:eastAsiaTheme="majorEastAsia"/>
        </w:rPr>
        <w:t>（七）加快实施联网公路建设，提高路网连接密度。</w:t>
      </w:r>
    </w:p>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结合村镇布局、经济和人口分布、城镇化发展需求，考虑地形条件和自然环境，加快通往主要产业经济节点的农村公路建设，提高网络化水平。在通畅基础上，逐步推进乡镇和具备条件的建制村联网公路建设，着力提高城市近郊、城镇化、人口密集地区农村公路网络化水平。其中，乡镇联网公路以三级公路为主、交通需求较大的路线按照二级标准建设，建制村联网路线以四级公路为主。</w:t>
      </w:r>
    </w:p>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“十四五”期，为改善居民出行条件，提高路网连接密度，六盘水市将启动建设实施联网公路项目</w:t>
      </w:r>
      <w:r>
        <w:rPr>
          <w:rFonts w:asciiTheme="majorEastAsia" w:hAnsiTheme="majorEastAsia" w:eastAsiaTheme="majorEastAsia"/>
          <w:szCs w:val="28"/>
        </w:rPr>
        <w:t>3</w:t>
      </w:r>
      <w:r>
        <w:rPr>
          <w:rFonts w:hint="eastAsia" w:asciiTheme="majorEastAsia" w:hAnsiTheme="majorEastAsia" w:eastAsiaTheme="majorEastAsia"/>
          <w:szCs w:val="28"/>
        </w:rPr>
        <w:t>个，总里程</w:t>
      </w:r>
      <w:r>
        <w:rPr>
          <w:rFonts w:asciiTheme="majorEastAsia" w:hAnsiTheme="majorEastAsia" w:eastAsiaTheme="majorEastAsia"/>
          <w:b/>
          <w:bCs/>
          <w:szCs w:val="28"/>
        </w:rPr>
        <w:t>15.6</w:t>
      </w:r>
      <w:r>
        <w:rPr>
          <w:rFonts w:hint="eastAsia" w:asciiTheme="majorEastAsia" w:hAnsiTheme="majorEastAsia" w:eastAsiaTheme="majorEastAsia"/>
          <w:szCs w:val="28"/>
        </w:rPr>
        <w:t>公里，均为四级公路技术标准，6.5米路基宽度。</w:t>
      </w:r>
    </w:p>
    <w:tbl>
      <w:tblPr>
        <w:tblStyle w:val="19"/>
        <w:tblpPr w:leftFromText="180" w:rightFromText="180" w:vertAnchor="text" w:horzAnchor="margin" w:tblpXSpec="center" w:tblpY="1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17" w:type="dxa"/>
          </w:tcPr>
          <w:p>
            <w:pPr>
              <w:ind w:firstLine="482"/>
              <w:jc w:val="center"/>
              <w:rPr>
                <w:rFonts w:asciiTheme="majorEastAsia" w:hAnsiTheme="majorEastAsia" w:eastAsiaTheme="majorEastAsia"/>
                <w:b/>
                <w:bCs/>
                <w:color w:val="000000" w:themeColor="text1"/>
                <w:sz w:val="20"/>
                <w:szCs w:val="20"/>
                <w14:textFill>
                  <w14:solidFill>
                    <w14:schemeClr w14:val="tx1"/>
                  </w14:solidFill>
                </w14:textFill>
              </w:rPr>
            </w:pPr>
            <w:r>
              <w:rPr>
                <w:rFonts w:asciiTheme="majorEastAsia" w:hAnsiTheme="majorEastAsia" w:eastAsiaTheme="majorEastAsia"/>
                <w:b/>
                <w:bCs/>
                <w:color w:val="000000" w:themeColor="text1"/>
                <w:sz w:val="20"/>
                <w:szCs w:val="20"/>
                <w14:textFill>
                  <w14:solidFill>
                    <w14:schemeClr w14:val="tx1"/>
                  </w14:solidFill>
                </w14:textFill>
              </w:rPr>
              <w:t>专栏</w:t>
            </w:r>
            <w:r>
              <w:rPr>
                <w:rFonts w:hint="eastAsia" w:asciiTheme="majorEastAsia" w:hAnsiTheme="majorEastAsia" w:eastAsiaTheme="majorEastAsia"/>
                <w:b/>
                <w:bCs/>
                <w:color w:val="000000" w:themeColor="text1"/>
                <w:sz w:val="20"/>
                <w:szCs w:val="20"/>
                <w14:textFill>
                  <w14:solidFill>
                    <w14:schemeClr w14:val="tx1"/>
                  </w14:solidFill>
                </w14:textFill>
              </w:rPr>
              <w:t>5</w:t>
            </w:r>
            <w:r>
              <w:rPr>
                <w:rFonts w:asciiTheme="majorEastAsia" w:hAnsiTheme="majorEastAsia" w:eastAsiaTheme="majorEastAsia"/>
                <w:b/>
                <w:bCs/>
                <w:color w:val="000000" w:themeColor="text1"/>
                <w:sz w:val="20"/>
                <w:szCs w:val="20"/>
                <w14:textFill>
                  <w14:solidFill>
                    <w14:schemeClr w14:val="tx1"/>
                  </w14:solidFill>
                </w14:textFill>
              </w:rPr>
              <w:t>-</w:t>
            </w:r>
            <w:r>
              <w:rPr>
                <w:rFonts w:hint="eastAsia" w:asciiTheme="majorEastAsia" w:hAnsiTheme="majorEastAsia" w:eastAsiaTheme="majorEastAsia"/>
                <w:b/>
                <w:bCs/>
                <w:color w:val="000000" w:themeColor="text1"/>
                <w:sz w:val="20"/>
                <w:szCs w:val="20"/>
                <w14:textFill>
                  <w14:solidFill>
                    <w14:schemeClr w14:val="tx1"/>
                  </w14:solidFill>
                </w14:textFill>
              </w:rPr>
              <w:t>7</w:t>
            </w:r>
            <w:r>
              <w:rPr>
                <w:rFonts w:asciiTheme="majorEastAsia" w:hAnsiTheme="majorEastAsia" w:eastAsiaTheme="majorEastAsia"/>
                <w:b/>
                <w:bCs/>
                <w:color w:val="000000" w:themeColor="text1"/>
                <w:sz w:val="20"/>
                <w:szCs w:val="20"/>
                <w14:textFill>
                  <w14:solidFill>
                    <w14:schemeClr w14:val="tx1"/>
                  </w14:solidFill>
                </w14:textFill>
              </w:rPr>
              <w:t xml:space="preserve"> “十四五”期</w:t>
            </w:r>
            <w:r>
              <w:rPr>
                <w:rFonts w:hint="eastAsia" w:asciiTheme="majorEastAsia" w:hAnsiTheme="majorEastAsia" w:eastAsiaTheme="majorEastAsia"/>
                <w:b/>
                <w:bCs/>
                <w:color w:val="000000" w:themeColor="text1"/>
                <w:sz w:val="20"/>
                <w:szCs w:val="20"/>
                <w14:textFill>
                  <w14:solidFill>
                    <w14:schemeClr w14:val="tx1"/>
                  </w14:solidFill>
                </w14:textFill>
              </w:rPr>
              <w:t>六盘水联网公路建设</w:t>
            </w:r>
            <w:r>
              <w:rPr>
                <w:rFonts w:asciiTheme="majorEastAsia" w:hAnsiTheme="majorEastAsia" w:eastAsiaTheme="majorEastAsia"/>
                <w:b/>
                <w:bCs/>
                <w:color w:val="000000" w:themeColor="text1"/>
                <w:sz w:val="20"/>
                <w:szCs w:val="20"/>
                <w14:textFill>
                  <w14:solidFill>
                    <w14:schemeClr w14:val="tx1"/>
                  </w14:solidFill>
                </w14:textFill>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8217" w:type="dxa"/>
          </w:tcPr>
          <w:p>
            <w:pPr>
              <w:rPr>
                <w:rFonts w:asciiTheme="majorEastAsia" w:hAnsiTheme="majorEastAsia" w:eastAsiaTheme="majorEastAsia"/>
                <w:bCs/>
                <w:sz w:val="20"/>
                <w:szCs w:val="20"/>
              </w:rPr>
            </w:pPr>
            <w:r>
              <w:rPr>
                <w:rFonts w:hint="eastAsia" w:asciiTheme="majorEastAsia" w:hAnsiTheme="majorEastAsia" w:eastAsiaTheme="majorEastAsia"/>
                <w:bCs/>
                <w:sz w:val="20"/>
                <w:szCs w:val="20"/>
              </w:rPr>
              <w:t>“十四五”期，启动建设联网公路</w:t>
            </w:r>
            <w:r>
              <w:rPr>
                <w:rFonts w:asciiTheme="majorEastAsia" w:hAnsiTheme="majorEastAsia" w:eastAsiaTheme="majorEastAsia"/>
                <w:b/>
                <w:sz w:val="20"/>
                <w:szCs w:val="20"/>
              </w:rPr>
              <w:t>3</w:t>
            </w:r>
            <w:r>
              <w:rPr>
                <w:rFonts w:hint="eastAsia" w:asciiTheme="majorEastAsia" w:hAnsiTheme="majorEastAsia" w:eastAsiaTheme="majorEastAsia"/>
                <w:bCs/>
                <w:sz w:val="20"/>
                <w:szCs w:val="20"/>
              </w:rPr>
              <w:t>个，共计</w:t>
            </w:r>
            <w:r>
              <w:rPr>
                <w:rFonts w:asciiTheme="majorEastAsia" w:hAnsiTheme="majorEastAsia" w:eastAsiaTheme="majorEastAsia"/>
                <w:b/>
                <w:sz w:val="20"/>
                <w:szCs w:val="20"/>
              </w:rPr>
              <w:t>15.6</w:t>
            </w:r>
            <w:r>
              <w:rPr>
                <w:rFonts w:hint="eastAsia" w:asciiTheme="majorEastAsia" w:hAnsiTheme="majorEastAsia" w:eastAsiaTheme="majorEastAsia"/>
                <w:b/>
                <w:sz w:val="20"/>
                <w:szCs w:val="20"/>
              </w:rPr>
              <w:t xml:space="preserve"> </w:t>
            </w:r>
            <w:r>
              <w:rPr>
                <w:rFonts w:hint="eastAsia" w:asciiTheme="majorEastAsia" w:hAnsiTheme="majorEastAsia" w:eastAsiaTheme="majorEastAsia"/>
                <w:bCs/>
                <w:sz w:val="20"/>
                <w:szCs w:val="20"/>
              </w:rPr>
              <w:t>公里。包括S215六枝至晴隆公路牂牁江大桥复建工程、旧营至杨家屯公路、中寨乡平基村至水黄公路联络线。</w:t>
            </w:r>
          </w:p>
        </w:tc>
      </w:tr>
    </w:tbl>
    <w:p>
      <w:pPr>
        <w:pStyle w:val="4"/>
        <w:rPr>
          <w:rFonts w:asciiTheme="majorEastAsia" w:hAnsiTheme="majorEastAsia" w:eastAsiaTheme="majorEastAsia"/>
        </w:rPr>
      </w:pPr>
      <w:bookmarkStart w:id="724" w:name="_Toc79048569"/>
      <w:bookmarkStart w:id="725" w:name="_Toc79923784"/>
      <w:bookmarkStart w:id="726" w:name="_Toc80103524"/>
      <w:bookmarkStart w:id="727" w:name="_Toc80715974"/>
      <w:bookmarkStart w:id="728" w:name="_Toc81406398"/>
      <w:bookmarkStart w:id="729" w:name="_Toc82161469"/>
      <w:bookmarkStart w:id="730" w:name="_Toc89102193"/>
      <w:bookmarkStart w:id="731" w:name="_Toc56264703"/>
      <w:bookmarkStart w:id="732" w:name="_Toc58318748"/>
      <w:bookmarkStart w:id="733" w:name="_Toc66179135"/>
      <w:bookmarkStart w:id="734" w:name="_Toc66367250"/>
      <w:bookmarkStart w:id="735" w:name="_Toc66367337"/>
      <w:bookmarkStart w:id="736" w:name="_Toc66367619"/>
      <w:bookmarkStart w:id="737" w:name="_Toc63601009"/>
      <w:bookmarkStart w:id="738" w:name="_Toc66367424"/>
      <w:bookmarkStart w:id="739" w:name="_Toc72513446"/>
      <w:bookmarkStart w:id="740" w:name="_Toc72777994"/>
      <w:bookmarkStart w:id="741" w:name="_Toc73625970"/>
      <w:bookmarkStart w:id="742" w:name="_Toc75518143"/>
      <w:bookmarkStart w:id="743" w:name="_Toc76490234"/>
      <w:bookmarkStart w:id="744" w:name="_Toc76993411"/>
      <w:bookmarkStart w:id="745" w:name="_Toc76994104"/>
      <w:bookmarkStart w:id="746" w:name="_Toc76994488"/>
      <w:bookmarkStart w:id="747" w:name="_Toc78374984"/>
      <w:bookmarkStart w:id="748" w:name="_Toc78551013"/>
      <w:bookmarkStart w:id="749" w:name="_Toc78556433"/>
      <w:bookmarkStart w:id="750" w:name="_Toc78813487"/>
      <w:r>
        <w:rPr>
          <w:rFonts w:asciiTheme="majorEastAsia" w:hAnsiTheme="majorEastAsia" w:eastAsiaTheme="majorEastAsia"/>
        </w:rPr>
        <w:t>5.1.</w:t>
      </w:r>
      <w:r>
        <w:rPr>
          <w:rFonts w:hint="eastAsia" w:asciiTheme="majorEastAsia" w:hAnsiTheme="majorEastAsia" w:eastAsiaTheme="majorEastAsia"/>
        </w:rPr>
        <w:t>2提高公路管理养护水平</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
      <w:pPr>
        <w:pStyle w:val="6"/>
        <w:rPr>
          <w:rFonts w:asciiTheme="majorEastAsia" w:hAnsiTheme="majorEastAsia" w:eastAsiaTheme="majorEastAsia"/>
        </w:rPr>
      </w:pPr>
      <w:r>
        <w:rPr>
          <w:rFonts w:hint="eastAsia" w:asciiTheme="majorEastAsia" w:hAnsiTheme="majorEastAsia" w:eastAsiaTheme="majorEastAsia"/>
        </w:rPr>
        <w:t>（一）</w:t>
      </w:r>
      <w:r>
        <w:rPr>
          <w:rFonts w:asciiTheme="majorEastAsia" w:hAnsiTheme="majorEastAsia" w:eastAsiaTheme="majorEastAsia"/>
        </w:rPr>
        <w:t>进一步改善公路路况和服务品质</w:t>
      </w:r>
    </w:p>
    <w:p>
      <w:pPr>
        <w:ind w:firstLine="560" w:firstLineChars="200"/>
        <w:rPr>
          <w:rFonts w:asciiTheme="majorEastAsia" w:hAnsiTheme="majorEastAsia" w:eastAsiaTheme="majorEastAsia"/>
        </w:rPr>
      </w:pPr>
      <w:r>
        <w:rPr>
          <w:rFonts w:asciiTheme="majorEastAsia" w:hAnsiTheme="majorEastAsia" w:eastAsiaTheme="majorEastAsia"/>
        </w:rPr>
        <w:t>积极开展预防性养护和日常养护，提升公路路况水平，实现公路路面技术状况逐年提升。继续推动实施生命安全防护工程和危桥、老旧桥梁改造重建，加强灾害治理力度，提高路网整体抗灾能力和安全性。改善公路路域环境，提升公路养护工程的综合效益，打造以“畅安舒美”为主题的美丽公路。加快普通国省干线公路服务设施建设改造，重点打造特色典型交通驿站、综合服务区等服务示范点。</w:t>
      </w:r>
      <w:r>
        <w:rPr>
          <w:rFonts w:hint="eastAsia" w:asciiTheme="majorEastAsia" w:hAnsiTheme="majorEastAsia" w:eastAsiaTheme="majorEastAsia"/>
        </w:rPr>
        <w:t>进一步加强农村公路管理养护工作力度。根据省公路局每年对农村公路重点工作的安排部署，严格落实年度农村公路养护计划，稳步提升农村公路养护质量。继续推进农村公路路况检测工作，并结合路况指标科学制定养护措施，督促指导所辖区、特区全面做好农村公路灾毁抢修及应急抢险等工作，努力保证辖区内农村公路畅通。</w:t>
      </w:r>
    </w:p>
    <w:p>
      <w:pPr>
        <w:pStyle w:val="6"/>
        <w:rPr>
          <w:rFonts w:asciiTheme="majorEastAsia" w:hAnsiTheme="majorEastAsia" w:eastAsiaTheme="majorEastAsia"/>
        </w:rPr>
      </w:pPr>
      <w:r>
        <w:rPr>
          <w:rFonts w:hint="eastAsia" w:asciiTheme="majorEastAsia" w:hAnsiTheme="majorEastAsia" w:eastAsiaTheme="majorEastAsia"/>
        </w:rPr>
        <w:t>（二）严格路政执法管理</w:t>
      </w:r>
    </w:p>
    <w:p>
      <w:pPr>
        <w:pStyle w:val="45"/>
        <w:ind w:firstLine="560"/>
        <w:rPr>
          <w:rFonts w:cs="Times New Roman" w:asciiTheme="majorEastAsia" w:hAnsiTheme="majorEastAsia" w:eastAsiaTheme="majorEastAsia"/>
          <w:kern w:val="2"/>
          <w:sz w:val="28"/>
          <w:szCs w:val="24"/>
        </w:rPr>
      </w:pPr>
      <w:r>
        <w:rPr>
          <w:rFonts w:hint="eastAsia" w:cs="Times New Roman" w:asciiTheme="majorEastAsia" w:hAnsiTheme="majorEastAsia" w:eastAsiaTheme="majorEastAsia"/>
          <w:kern w:val="2"/>
          <w:sz w:val="28"/>
          <w:szCs w:val="24"/>
        </w:rPr>
        <w:t>统筹规划和科学配备执法装备，确保执法车辆、执法记录仪等装备配备与执法任务相适应，提高路政队伍依法履行职责的能力和水平。加快信息化技术在路政执法领域的应用，推行智能化公路检测设备、智能化巡查和信息化执法，实现路政巡查管理数据采集数字化、智能化，推行网上办事和网上监督，实现现场执法电子化、网络化。严格落实路政执法督导检查制度，定期或不定期地组织督导检查。</w:t>
      </w:r>
      <w:bookmarkStart w:id="751" w:name="_Hlk53597518"/>
      <w:r>
        <w:rPr>
          <w:rFonts w:hint="eastAsia" w:cs="Times New Roman" w:asciiTheme="majorEastAsia" w:hAnsiTheme="majorEastAsia" w:eastAsiaTheme="majorEastAsia"/>
          <w:kern w:val="2"/>
          <w:sz w:val="28"/>
          <w:szCs w:val="24"/>
        </w:rPr>
        <w:t>探索建立职能科学、权责清晰、透明高效、保障有力的公路执法体制和运行机制，稳步推进公路综合执法改革。</w:t>
      </w:r>
    </w:p>
    <w:p>
      <w:pPr>
        <w:pStyle w:val="6"/>
        <w:rPr>
          <w:rFonts w:asciiTheme="majorEastAsia" w:hAnsiTheme="majorEastAsia" w:eastAsiaTheme="majorEastAsia"/>
        </w:rPr>
      </w:pPr>
      <w:r>
        <w:rPr>
          <w:rFonts w:hint="eastAsia" w:asciiTheme="majorEastAsia" w:hAnsiTheme="majorEastAsia" w:eastAsiaTheme="majorEastAsia"/>
        </w:rPr>
        <w:t>（三）完善公路养护管理体制</w:t>
      </w:r>
    </w:p>
    <w:p>
      <w:pPr>
        <w:spacing w:line="240" w:lineRule="auto"/>
        <w:ind w:firstLine="560" w:firstLineChars="200"/>
        <w:rPr>
          <w:rFonts w:asciiTheme="majorEastAsia" w:hAnsiTheme="majorEastAsia" w:eastAsiaTheme="majorEastAsia"/>
        </w:rPr>
      </w:pPr>
      <w:r>
        <w:rPr>
          <w:rFonts w:hint="eastAsia" w:asciiTheme="majorEastAsia" w:hAnsiTheme="majorEastAsia" w:eastAsiaTheme="majorEastAsia"/>
        </w:rPr>
        <w:t>基本建立事权清晰、支出责任明确、运转协调的公路养护管理体制，实现事权与支出责任相一致、财力与事权相匹配。形成权责明确、收费合理、运营规范、公开透明的收费公路管理体制和运行机制。完善“县为主体、行业指导、部门协作、社会参与”的农村公路养护工作机制，全面落实县级人民政府的主体责任，切实做到农村公路管养机构、人员、资金三落实，充分发挥乡镇人民政府、村委会和村民参与作用。继续加强公路日常维护，积极开展预防性养护，实现公路养护由被动防治向主动预防转变。</w:t>
      </w:r>
    </w:p>
    <w:p>
      <w:pPr>
        <w:spacing w:line="240" w:lineRule="auto"/>
        <w:ind w:firstLine="560" w:firstLineChars="200"/>
        <w:rPr>
          <w:rFonts w:asciiTheme="majorEastAsia" w:hAnsiTheme="majorEastAsia" w:eastAsiaTheme="majorEastAsia"/>
        </w:rPr>
      </w:pPr>
      <w:r>
        <w:rPr>
          <w:rFonts w:hint="eastAsia" w:asciiTheme="majorEastAsia" w:hAnsiTheme="majorEastAsia" w:eastAsiaTheme="majorEastAsia"/>
        </w:rPr>
        <w:t>紧紧抓住农村公路管理养护体制改革试点机遇，按照《六盘水市深化农村公路管理养护体制改革实施方案》，落实养护经费，将农村公路养护资金计划列入当年本级一般公共财政预算。加强养护队伍建设，根据《公路养护技术规范》相关要求，按新增国省道5公里/人、县道5公里/人、乡道（村道、通组公路）10公里/人的标准设置养护人员。推广县（区）、乡、村三级“路长制”，积极推进市场化养护和专业化养护，提高养护机械化水平，做好辖区管养的普通国省道和农村公路路况检测工作，确保辖区管养的普通国省道和农村公路优良中等路率达80%以上。</w:t>
      </w:r>
    </w:p>
    <w:p>
      <w:pPr>
        <w:pStyle w:val="6"/>
        <w:rPr>
          <w:rFonts w:asciiTheme="majorEastAsia" w:hAnsiTheme="majorEastAsia" w:eastAsiaTheme="majorEastAsia"/>
        </w:rPr>
      </w:pPr>
      <w:r>
        <w:rPr>
          <w:rFonts w:hint="eastAsia" w:asciiTheme="majorEastAsia" w:hAnsiTheme="majorEastAsia" w:eastAsiaTheme="majorEastAsia"/>
        </w:rPr>
        <w:t>（四）开展公路养护决策制度建设</w:t>
      </w:r>
    </w:p>
    <w:p>
      <w:pPr>
        <w:ind w:firstLine="560" w:firstLineChars="200"/>
        <w:rPr>
          <w:rFonts w:asciiTheme="majorEastAsia" w:hAnsiTheme="majorEastAsia" w:eastAsiaTheme="majorEastAsia"/>
        </w:rPr>
      </w:pPr>
      <w:r>
        <w:rPr>
          <w:rFonts w:asciiTheme="majorEastAsia" w:hAnsiTheme="majorEastAsia" w:eastAsiaTheme="majorEastAsia"/>
        </w:rPr>
        <w:t>建立包括路况检测评定、养护目标设定、养护需求分析和养护计划编制等流程的公路养护决策技术体系，构建“十四五”养护工程项目库，提升养护决策科学化程度。</w:t>
      </w:r>
      <w:r>
        <w:rPr>
          <w:rFonts w:hint="eastAsia" w:asciiTheme="majorEastAsia" w:hAnsiTheme="majorEastAsia" w:eastAsiaTheme="majorEastAsia"/>
        </w:rPr>
        <w:t>分类规范公路养护工程计划审批、工程实施和质量验收程序，形成“体系健全、标准完善、技术先进、监督有效”的公路养护工程管理体系和质量监管体系。建立高速公路、普通国省干线、农村公路养护管理考核评价体系，建立分层次的目标责任考核和奖惩问责机制。</w:t>
      </w:r>
      <w:r>
        <w:rPr>
          <w:rFonts w:asciiTheme="majorEastAsia" w:hAnsiTheme="majorEastAsia" w:eastAsiaTheme="majorEastAsia"/>
        </w:rPr>
        <w:t>大力推广成熟的养护工程施工工艺和施工设备，构建养护作业标准化框架体系，推进养护作业的机械化、标准化进程，全面提高养护效率；深入开展公路养护市场化改革。</w:t>
      </w:r>
    </w:p>
    <w:p>
      <w:pPr>
        <w:pStyle w:val="4"/>
        <w:rPr>
          <w:rFonts w:asciiTheme="majorEastAsia" w:hAnsiTheme="majorEastAsia" w:eastAsiaTheme="majorEastAsia"/>
        </w:rPr>
      </w:pPr>
      <w:bookmarkStart w:id="752" w:name="_Toc56264704"/>
      <w:bookmarkStart w:id="753" w:name="_Toc58318749"/>
      <w:bookmarkStart w:id="754" w:name="_Toc66179136"/>
      <w:bookmarkStart w:id="755" w:name="_Toc63601010"/>
      <w:bookmarkStart w:id="756" w:name="_Toc66367338"/>
      <w:bookmarkStart w:id="757" w:name="_Toc72513447"/>
      <w:bookmarkStart w:id="758" w:name="_Toc66367620"/>
      <w:bookmarkStart w:id="759" w:name="_Toc66367251"/>
      <w:bookmarkStart w:id="760" w:name="_Toc66367425"/>
      <w:bookmarkStart w:id="761" w:name="_Toc72777995"/>
      <w:bookmarkStart w:id="762" w:name="_Toc73625971"/>
      <w:bookmarkStart w:id="763" w:name="_Toc75518144"/>
      <w:bookmarkStart w:id="764" w:name="_Toc76490235"/>
      <w:bookmarkStart w:id="765" w:name="_Toc76993412"/>
      <w:bookmarkStart w:id="766" w:name="_Toc76994105"/>
      <w:bookmarkStart w:id="767" w:name="_Toc76994489"/>
      <w:bookmarkStart w:id="768" w:name="_Toc78374985"/>
      <w:bookmarkStart w:id="769" w:name="_Toc78551014"/>
      <w:bookmarkStart w:id="770" w:name="_Toc78556434"/>
      <w:bookmarkStart w:id="771" w:name="_Toc78813488"/>
      <w:bookmarkStart w:id="772" w:name="_Toc79048570"/>
      <w:bookmarkStart w:id="773" w:name="_Toc79923785"/>
      <w:bookmarkStart w:id="774" w:name="_Toc80103525"/>
      <w:bookmarkStart w:id="775" w:name="_Toc80715975"/>
      <w:bookmarkStart w:id="776" w:name="_Toc81406399"/>
      <w:bookmarkStart w:id="777" w:name="_Toc82161470"/>
      <w:bookmarkStart w:id="778" w:name="_Toc89102194"/>
      <w:r>
        <w:rPr>
          <w:rFonts w:asciiTheme="majorEastAsia" w:hAnsiTheme="majorEastAsia" w:eastAsiaTheme="majorEastAsia"/>
        </w:rPr>
        <w:t>5.1.</w:t>
      </w:r>
      <w:r>
        <w:rPr>
          <w:rFonts w:hint="eastAsia" w:asciiTheme="majorEastAsia" w:hAnsiTheme="majorEastAsia" w:eastAsiaTheme="majorEastAsia"/>
        </w:rPr>
        <w:t>3</w:t>
      </w:r>
      <w:bookmarkEnd w:id="752"/>
      <w:bookmarkEnd w:id="753"/>
      <w:r>
        <w:rPr>
          <w:rFonts w:hint="eastAsia" w:asciiTheme="majorEastAsia" w:hAnsiTheme="majorEastAsia" w:eastAsiaTheme="majorEastAsia"/>
        </w:rPr>
        <w:t>提升客货运输服务效率和品质</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pPr>
        <w:pStyle w:val="6"/>
        <w:rPr>
          <w:rFonts w:asciiTheme="majorEastAsia" w:hAnsiTheme="majorEastAsia" w:eastAsiaTheme="majorEastAsia"/>
        </w:rPr>
      </w:pPr>
      <w:r>
        <w:rPr>
          <w:rFonts w:hint="eastAsia" w:asciiTheme="majorEastAsia" w:hAnsiTheme="majorEastAsia" w:eastAsiaTheme="majorEastAsia"/>
        </w:rPr>
        <w:t>（一）构建优质高效的客运体系</w:t>
      </w:r>
    </w:p>
    <w:p>
      <w:pPr>
        <w:ind w:firstLine="562" w:firstLineChars="200"/>
        <w:rPr>
          <w:rFonts w:asciiTheme="majorEastAsia" w:hAnsiTheme="majorEastAsia" w:eastAsiaTheme="majorEastAsia"/>
        </w:rPr>
      </w:pPr>
      <w:r>
        <w:rPr>
          <w:rFonts w:hint="eastAsia" w:asciiTheme="majorEastAsia" w:hAnsiTheme="majorEastAsia" w:eastAsiaTheme="majorEastAsia"/>
          <w:b/>
          <w:szCs w:val="28"/>
        </w:rPr>
        <w:t>一是</w:t>
      </w:r>
      <w:r>
        <w:rPr>
          <w:rFonts w:hint="eastAsia" w:asciiTheme="majorEastAsia" w:hAnsiTheme="majorEastAsia" w:eastAsiaTheme="majorEastAsia"/>
        </w:rPr>
        <w:t>大力推进旅客联程运输发展，构建与铁路、民航相衔接的道路客运集疏运网络，全面推广应用客运联网售票系统，探索“一票制”和“一站式”客运服务。</w:t>
      </w:r>
      <w:r>
        <w:rPr>
          <w:rFonts w:hint="eastAsia" w:asciiTheme="majorEastAsia" w:hAnsiTheme="majorEastAsia" w:eastAsiaTheme="majorEastAsia"/>
          <w:b/>
          <w:szCs w:val="28"/>
        </w:rPr>
        <w:t>二是</w:t>
      </w:r>
      <w:r>
        <w:rPr>
          <w:rFonts w:hint="eastAsia" w:asciiTheme="majorEastAsia" w:hAnsiTheme="majorEastAsia" w:eastAsiaTheme="majorEastAsia"/>
        </w:rPr>
        <w:t>加快推动定制客运发展，以“互联网+”“定制化”全面推动传统客运转型升级，提高定制客运规模化、网络化经营水平，培育和规范市场创新发展新动力。加快班线客运结构调整，探索形成新型的客运组织模式。整合和优化长途客运资源配置，拓展和稳固中短途客运市场。实现市内外便捷直达，全面提升道路客运的服务品质和整体竞争能力，满足多区间、多时段、多层次出行需求。</w:t>
      </w:r>
      <w:r>
        <w:rPr>
          <w:rFonts w:hint="eastAsia" w:asciiTheme="majorEastAsia" w:hAnsiTheme="majorEastAsia" w:eastAsiaTheme="majorEastAsia"/>
          <w:b/>
          <w:szCs w:val="28"/>
        </w:rPr>
        <w:t>三是</w:t>
      </w:r>
      <w:r>
        <w:rPr>
          <w:rFonts w:hint="eastAsia" w:asciiTheme="majorEastAsia" w:hAnsiTheme="majorEastAsia" w:eastAsiaTheme="majorEastAsia"/>
        </w:rPr>
        <w:t>鼓励客运企业开展旅游客运专线等特色业务，积极打造“一站式”运游融合服务产品，建设“交通+旅游”集散中心，推动客运与旅游深度融合。</w:t>
      </w:r>
      <w:r>
        <w:rPr>
          <w:rFonts w:hint="eastAsia" w:asciiTheme="majorEastAsia" w:hAnsiTheme="majorEastAsia" w:eastAsiaTheme="majorEastAsia"/>
          <w:b/>
          <w:szCs w:val="28"/>
        </w:rPr>
        <w:t>四是</w:t>
      </w:r>
      <w:r>
        <w:rPr>
          <w:rFonts w:hint="eastAsia" w:asciiTheme="majorEastAsia" w:hAnsiTheme="majorEastAsia" w:eastAsiaTheme="majorEastAsia"/>
        </w:rPr>
        <w:t>完善农村客运普遍服务网络。建立与农村公路等级、通行车型、载客限载、运行限速、通行时间等协调的农村客运线路网络。坚持“路、站、运”一体化发展，注重农村客运场站前期规划选址，提高客运站建成后的利用率三级及以上客运站售票联网开通率达到100%。基本实现客运企业的规模化、集约化经营和所有行政村客运招呼站和小件物流综合服务站点建设全覆盖。形成服务质量高、服务形象好、服务领域广、有序规范的旅游客运市场，建立健全定线旅游客运和非定线旅游客运体系。</w:t>
      </w:r>
    </w:p>
    <w:p>
      <w:pPr>
        <w:pStyle w:val="6"/>
        <w:rPr>
          <w:rFonts w:asciiTheme="majorEastAsia" w:hAnsiTheme="majorEastAsia" w:eastAsiaTheme="majorEastAsia"/>
        </w:rPr>
      </w:pPr>
      <w:r>
        <w:rPr>
          <w:rFonts w:hint="eastAsia" w:asciiTheme="majorEastAsia" w:hAnsiTheme="majorEastAsia" w:eastAsiaTheme="majorEastAsia"/>
        </w:rPr>
        <w:t>（二）构建交通物流融合发展新体系</w:t>
      </w:r>
    </w:p>
    <w:p>
      <w:pPr>
        <w:ind w:firstLine="562" w:firstLineChars="200"/>
        <w:rPr>
          <w:rFonts w:asciiTheme="majorEastAsia" w:hAnsiTheme="majorEastAsia" w:eastAsiaTheme="majorEastAsia"/>
        </w:rPr>
      </w:pPr>
      <w:r>
        <w:rPr>
          <w:rFonts w:hint="eastAsia" w:asciiTheme="majorEastAsia" w:hAnsiTheme="majorEastAsia" w:eastAsiaTheme="majorEastAsia"/>
          <w:b/>
          <w:szCs w:val="28"/>
        </w:rPr>
        <w:t>一是</w:t>
      </w:r>
      <w:r>
        <w:rPr>
          <w:rFonts w:hint="eastAsia" w:asciiTheme="majorEastAsia" w:hAnsiTheme="majorEastAsia" w:eastAsiaTheme="majorEastAsia"/>
          <w:bCs/>
          <w:szCs w:val="28"/>
        </w:rPr>
        <w:t>积极培育龙头和骨干货运企业，</w:t>
      </w:r>
      <w:r>
        <w:rPr>
          <w:rFonts w:hint="eastAsia" w:asciiTheme="majorEastAsia" w:hAnsiTheme="majorEastAsia" w:eastAsiaTheme="majorEastAsia"/>
        </w:rPr>
        <w:t>鼓励货运物流企业做强做优，加快发展货运物流企业联盟。</w:t>
      </w:r>
      <w:r>
        <w:rPr>
          <w:rFonts w:hint="eastAsia" w:asciiTheme="majorEastAsia" w:hAnsiTheme="majorEastAsia" w:eastAsiaTheme="majorEastAsia"/>
          <w:b/>
          <w:szCs w:val="28"/>
        </w:rPr>
        <w:t>二是</w:t>
      </w:r>
      <w:r>
        <w:rPr>
          <w:rFonts w:hint="eastAsia" w:asciiTheme="majorEastAsia" w:hAnsiTheme="majorEastAsia" w:eastAsiaTheme="majorEastAsia"/>
        </w:rPr>
        <w:t>大力发展先进运输组织模式，加快推进货物多式联运发展，发展统一配送、集中配送、共同配送等业务模式，提升物流效率，降低物流成本。</w:t>
      </w:r>
      <w:r>
        <w:rPr>
          <w:rFonts w:hint="eastAsia" w:asciiTheme="majorEastAsia" w:hAnsiTheme="majorEastAsia" w:eastAsiaTheme="majorEastAsia"/>
          <w:b/>
          <w:szCs w:val="28"/>
        </w:rPr>
        <w:t>三是</w:t>
      </w:r>
      <w:r>
        <w:rPr>
          <w:rFonts w:hint="eastAsia" w:asciiTheme="majorEastAsia" w:hAnsiTheme="majorEastAsia" w:eastAsiaTheme="majorEastAsia"/>
        </w:rPr>
        <w:t>健全农村物流配送网络，充分利用“通村村”平台等资源，推动县级仓储配送中心、农村物流快递公共取送点建设，</w:t>
      </w:r>
      <w:r>
        <w:rPr>
          <w:rFonts w:hint="eastAsia" w:asciiTheme="majorEastAsia" w:hAnsiTheme="majorEastAsia" w:eastAsiaTheme="majorEastAsia"/>
          <w:bCs/>
          <w:szCs w:val="28"/>
        </w:rPr>
        <w:t>推进“网货下乡”物流末端站点建设，完善县乡村三级物流配送网络，建设以县级农村物流站点为核心，以乡镇农村物流配送站为支撑的点状辐射式农村物流站点网络。</w:t>
      </w:r>
      <w:r>
        <w:rPr>
          <w:rFonts w:hint="eastAsia" w:asciiTheme="majorEastAsia" w:hAnsiTheme="majorEastAsia" w:eastAsiaTheme="majorEastAsia"/>
        </w:rPr>
        <w:t>加大对农产品冷链物流设施和农产品批发市场建设的支持力度，促进工业品下乡和农产品进城的双向流通。</w:t>
      </w:r>
      <w:r>
        <w:rPr>
          <w:rFonts w:hint="eastAsia" w:asciiTheme="majorEastAsia" w:hAnsiTheme="majorEastAsia" w:eastAsiaTheme="majorEastAsia"/>
          <w:bCs/>
          <w:szCs w:val="28"/>
        </w:rPr>
        <w:t>引导小件快递物流与农村客运班线相结合，鼓励客运站提供农产品、农贸生活日用品等的集散和中转服务。</w:t>
      </w:r>
      <w:r>
        <w:rPr>
          <w:rFonts w:hint="eastAsia" w:asciiTheme="majorEastAsia" w:hAnsiTheme="majorEastAsia" w:eastAsiaTheme="majorEastAsia"/>
        </w:rPr>
        <w:t>到“十四五”末，以提质、降本、增效为导向，打通制约物流运输发展链条的关键瓶颈，推动交通物流一体化、集装化、网络化、社会化、智能化发展。</w:t>
      </w:r>
      <w:r>
        <w:rPr>
          <w:rFonts w:hint="eastAsia" w:asciiTheme="majorEastAsia" w:hAnsiTheme="majorEastAsia" w:eastAsiaTheme="majorEastAsia"/>
          <w:b/>
          <w:bCs/>
        </w:rPr>
        <w:t>四是</w:t>
      </w:r>
      <w:r>
        <w:rPr>
          <w:rFonts w:hint="eastAsia" w:asciiTheme="majorEastAsia" w:hAnsiTheme="majorEastAsia" w:eastAsiaTheme="majorEastAsia"/>
        </w:rPr>
        <w:t>贯彻危险货物道路运输管理规定，落实常压液体危险货物运输罐车罐体国家标准，加强行政执法监督检查和与各部门的沟通协调，建立完善联合执法协作机制和违法案件移交、接收机制，着力构建危险货物道路运输全链条管理体系。</w:t>
      </w:r>
    </w:p>
    <w:p>
      <w:pPr>
        <w:pStyle w:val="6"/>
        <w:rPr>
          <w:rFonts w:asciiTheme="majorEastAsia" w:hAnsiTheme="majorEastAsia" w:eastAsiaTheme="majorEastAsia"/>
        </w:rPr>
      </w:pPr>
      <w:r>
        <w:rPr>
          <w:rFonts w:hint="eastAsia" w:asciiTheme="majorEastAsia" w:hAnsiTheme="majorEastAsia" w:eastAsiaTheme="majorEastAsia"/>
        </w:rPr>
        <w:t>（三）着力提升运输装备技术水平</w:t>
      </w:r>
    </w:p>
    <w:p>
      <w:pPr>
        <w:ind w:firstLine="700" w:firstLineChars="250"/>
        <w:rPr>
          <w:rFonts w:asciiTheme="majorEastAsia" w:hAnsiTheme="majorEastAsia" w:eastAsiaTheme="majorEastAsia"/>
        </w:rPr>
      </w:pPr>
      <w:r>
        <w:rPr>
          <w:rFonts w:hint="eastAsia" w:asciiTheme="majorEastAsia" w:hAnsiTheme="majorEastAsia" w:eastAsiaTheme="majorEastAsia"/>
        </w:rPr>
        <w:t>进一步提高中高级客运车辆占比。大力推进货运车（船）型标准化、大型化、专业化，鼓励发展集装箱、冷藏保鲜、罐式容器等专用运输车辆。推进混合动力、纯电动、天然气等新能源和清洁能源车辆广泛应用。基本形成与公路发展相适应的大、中、小型车辆和厢式车、集装箱车所占比重较为合理的车型结构。</w:t>
      </w:r>
    </w:p>
    <w:p>
      <w:pPr>
        <w:pStyle w:val="6"/>
        <w:rPr>
          <w:rFonts w:asciiTheme="majorEastAsia" w:hAnsiTheme="majorEastAsia" w:eastAsiaTheme="majorEastAsia"/>
        </w:rPr>
      </w:pPr>
      <w:r>
        <w:rPr>
          <w:rFonts w:hint="eastAsia" w:asciiTheme="majorEastAsia" w:hAnsiTheme="majorEastAsia" w:eastAsiaTheme="majorEastAsia"/>
        </w:rPr>
        <w:t>（四）打造便捷高效融合的公共交通体系</w:t>
      </w:r>
    </w:p>
    <w:p>
      <w:pPr>
        <w:ind w:firstLine="560" w:firstLineChars="200"/>
        <w:rPr>
          <w:rFonts w:asciiTheme="majorEastAsia" w:hAnsiTheme="majorEastAsia" w:eastAsiaTheme="majorEastAsia"/>
        </w:rPr>
      </w:pPr>
      <w:r>
        <w:rPr>
          <w:rFonts w:hint="eastAsia" w:asciiTheme="majorEastAsia" w:hAnsiTheme="majorEastAsia" w:eastAsiaTheme="majorEastAsia"/>
        </w:rPr>
        <w:t>城市公共交通作为城市的重要基础设施，具有低污染、低能耗、低资源占用等特点。创建公交都市示范城市是六盘水市委、市政府纵深推进生态文明城市建设的制胜之招。“十四五”期间</w:t>
      </w:r>
      <w:r>
        <w:rPr>
          <w:rFonts w:asciiTheme="majorEastAsia" w:hAnsiTheme="majorEastAsia" w:eastAsiaTheme="majorEastAsia"/>
        </w:rPr>
        <w:t>，六盘水市</w:t>
      </w:r>
      <w:r>
        <w:rPr>
          <w:rFonts w:hint="eastAsia" w:asciiTheme="majorEastAsia" w:hAnsiTheme="majorEastAsia" w:eastAsiaTheme="majorEastAsia"/>
        </w:rPr>
        <w:t>力争纳入“</w:t>
      </w:r>
      <w:r>
        <w:rPr>
          <w:rFonts w:hint="eastAsia" w:asciiTheme="majorEastAsia" w:hAnsiTheme="majorEastAsia" w:eastAsiaTheme="majorEastAsia"/>
          <w:b/>
          <w:bCs/>
        </w:rPr>
        <w:t>全国公交都市试点城市</w:t>
      </w:r>
      <w:r>
        <w:rPr>
          <w:rFonts w:hint="eastAsia" w:asciiTheme="majorEastAsia" w:hAnsiTheme="majorEastAsia" w:eastAsiaTheme="majorEastAsia"/>
        </w:rPr>
        <w:t>”，深化公交都市建设，深入实施公共交通优先发展战略，推动毗邻地区公交一体化运营。</w:t>
      </w:r>
      <w:r>
        <w:rPr>
          <w:rFonts w:hint="eastAsia" w:asciiTheme="majorEastAsia" w:hAnsiTheme="majorEastAsia" w:eastAsiaTheme="majorEastAsia"/>
          <w:b/>
          <w:bCs/>
        </w:rPr>
        <w:t>完善定制化班线、旅游包车等快捷公共交通出行服务方式</w:t>
      </w:r>
      <w:r>
        <w:rPr>
          <w:rFonts w:hint="eastAsia" w:asciiTheme="majorEastAsia" w:hAnsiTheme="majorEastAsia" w:eastAsiaTheme="majorEastAsia"/>
        </w:rPr>
        <w:t>。以其速度快、灵活性强、受地形限制小等优势，实现“门到门”的运输服务，在一定区域内（特别是景点周围）可快捷送达旅客，为游客出行节约时间。</w:t>
      </w:r>
      <w:r>
        <w:rPr>
          <w:rFonts w:hint="eastAsia"/>
          <w:b/>
          <w:bCs/>
        </w:rPr>
        <w:t>重构一体化公交体系。</w:t>
      </w:r>
      <w:r>
        <w:rPr>
          <w:rFonts w:hint="eastAsia" w:asciiTheme="majorEastAsia" w:hAnsiTheme="majorEastAsia" w:eastAsiaTheme="majorEastAsia"/>
        </w:rPr>
        <w:t>加快全市公交资源的内部统筹的调配，以提升公交服务为核心，在全市范围内建立起“城区、城镇、镇村”三级城乡公交线网。在“城区至乡镇”实现全公交化运营、“乡镇至村组”实现区域化经营加密循环，逐步建成多元化协同发展的城乡客运系统，实现农村客运服务全覆盖，不断推进城区公交服务向周边乡镇延伸，重点在于解决市民出行“最后一公里”难题，满足城区边缘地区或镇区市民出行交通需求。</w:t>
      </w:r>
      <w:r>
        <w:rPr>
          <w:rFonts w:hint="eastAsia" w:asciiTheme="majorEastAsia" w:hAnsiTheme="majorEastAsia" w:eastAsiaTheme="majorEastAsia"/>
          <w:b/>
          <w:bCs/>
        </w:rPr>
        <w:t>全面提升常规公交基础服务保障。</w:t>
      </w:r>
      <w:r>
        <w:rPr>
          <w:rFonts w:hint="eastAsia" w:asciiTheme="majorEastAsia" w:hAnsiTheme="majorEastAsia" w:eastAsiaTheme="majorEastAsia"/>
        </w:rPr>
        <w:t>加快推进市中心城区公交首末站、停保场等公交基础设施建设，有效解决公交车停车难和新能源公交车充电难的问题。结合高铁站、客运枢纽优化公交线路、合理增发公交班车，完善公交站台标识标牌，提升公众对选择公共交通出行的认同感和获得感。贯彻公交优先战略，以改革创新促进高质量发展，努力打造便捷、安全、绿色、共享的公交服务系统，全面建成群众出行满意、行业发展可持续的城市公共交通体系，打造与六盘水“凉都”城市定位相符合的城市新名片。</w:t>
      </w:r>
    </w:p>
    <w:p>
      <w:pPr>
        <w:pStyle w:val="6"/>
        <w:rPr>
          <w:rFonts w:asciiTheme="majorEastAsia" w:hAnsiTheme="majorEastAsia" w:eastAsiaTheme="majorEastAsia"/>
        </w:rPr>
      </w:pPr>
      <w:r>
        <w:rPr>
          <w:rFonts w:hint="eastAsia" w:asciiTheme="majorEastAsia" w:hAnsiTheme="majorEastAsia" w:eastAsiaTheme="majorEastAsia"/>
        </w:rPr>
        <w:t>（五）引导加快运输企业结构调整</w:t>
      </w:r>
    </w:p>
    <w:p>
      <w:pPr>
        <w:ind w:firstLine="560" w:firstLineChars="200"/>
        <w:rPr>
          <w:rFonts w:asciiTheme="majorEastAsia" w:hAnsiTheme="majorEastAsia" w:eastAsiaTheme="majorEastAsia"/>
        </w:rPr>
      </w:pPr>
      <w:r>
        <w:rPr>
          <w:rFonts w:hint="eastAsia" w:asciiTheme="majorEastAsia" w:hAnsiTheme="majorEastAsia" w:eastAsiaTheme="majorEastAsia"/>
        </w:rPr>
        <w:t>鼓励全市通过组建线路公司、实施资产置换或者兼并重组等方式，实行集约化经营。根据客运发展趋势，合理投放大中小车型比例，以中小型客车为主，科学配置座位数。构建以客运站综合体为中心的站商融合盈利模式，在站场内设置商业区域，引进便利店、熟食快餐店、快递服务、旅游服务、汽车展厅以及快捷酒店等业态，建设车辆维修、保养和新能源公交车充电等设施，提升客运站场自身的盈利能力。</w:t>
      </w:r>
    </w:p>
    <w:bookmarkEnd w:id="751"/>
    <w:p>
      <w:pPr>
        <w:pStyle w:val="4"/>
        <w:rPr>
          <w:rFonts w:asciiTheme="majorEastAsia" w:hAnsiTheme="majorEastAsia" w:eastAsiaTheme="majorEastAsia"/>
        </w:rPr>
      </w:pPr>
      <w:bookmarkStart w:id="779" w:name="_Toc56264705"/>
      <w:bookmarkStart w:id="780" w:name="_Toc72513448"/>
      <w:bookmarkStart w:id="781" w:name="_Toc66367339"/>
      <w:bookmarkStart w:id="782" w:name="_Toc63601011"/>
      <w:bookmarkStart w:id="783" w:name="_Toc66367621"/>
      <w:bookmarkStart w:id="784" w:name="_Toc66179137"/>
      <w:bookmarkStart w:id="785" w:name="_Toc66367252"/>
      <w:bookmarkStart w:id="786" w:name="_Toc58318750"/>
      <w:bookmarkStart w:id="787" w:name="_Toc66367426"/>
      <w:bookmarkStart w:id="788" w:name="_Toc72777996"/>
      <w:bookmarkStart w:id="789" w:name="_Toc73625972"/>
      <w:bookmarkStart w:id="790" w:name="_Toc75518145"/>
      <w:bookmarkStart w:id="791" w:name="_Toc76490236"/>
      <w:bookmarkStart w:id="792" w:name="_Toc76993413"/>
      <w:bookmarkStart w:id="793" w:name="_Toc76994106"/>
      <w:bookmarkStart w:id="794" w:name="_Toc76994490"/>
      <w:bookmarkStart w:id="795" w:name="_Toc78374986"/>
      <w:bookmarkStart w:id="796" w:name="_Toc78551015"/>
      <w:bookmarkStart w:id="797" w:name="_Toc78556435"/>
      <w:bookmarkStart w:id="798" w:name="_Toc78813489"/>
      <w:bookmarkStart w:id="799" w:name="_Toc79048571"/>
      <w:bookmarkStart w:id="800" w:name="_Toc79923786"/>
      <w:bookmarkStart w:id="801" w:name="_Toc80103526"/>
      <w:bookmarkStart w:id="802" w:name="_Toc80715976"/>
      <w:bookmarkStart w:id="803" w:name="_Toc81406400"/>
      <w:bookmarkStart w:id="804" w:name="_Toc82161471"/>
      <w:bookmarkStart w:id="805" w:name="_Toc89102195"/>
      <w:r>
        <w:rPr>
          <w:rFonts w:asciiTheme="majorEastAsia" w:hAnsiTheme="majorEastAsia" w:eastAsiaTheme="majorEastAsia"/>
        </w:rPr>
        <w:t>5.1.4</w:t>
      </w:r>
      <w:bookmarkEnd w:id="779"/>
      <w:r>
        <w:rPr>
          <w:rFonts w:hint="eastAsia" w:asciiTheme="majorEastAsia" w:hAnsiTheme="majorEastAsia" w:eastAsiaTheme="majorEastAsia"/>
        </w:rPr>
        <w:t>切实提高交通安全水平和应急保障能力</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p>
      <w:pPr>
        <w:pStyle w:val="6"/>
        <w:rPr>
          <w:rFonts w:asciiTheme="majorEastAsia" w:hAnsiTheme="majorEastAsia" w:eastAsiaTheme="majorEastAsia"/>
        </w:rPr>
      </w:pPr>
      <w:r>
        <w:rPr>
          <w:rFonts w:hint="eastAsia" w:asciiTheme="majorEastAsia" w:hAnsiTheme="majorEastAsia" w:eastAsiaTheme="majorEastAsia"/>
        </w:rPr>
        <w:t>（一）完善交通运输安全生产治理体系</w:t>
      </w:r>
    </w:p>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积极推进安责险实施，构建“保险+科技+服务+风控”监管体系，形成政府统一领导、各部门协同联动、全社会共同参与的交通安全治理格局。抓好基础要素管理，落实风险防控措施，严肃事故处理，落实企业主体责任，形成安全生产“闭环管理”。落实政府监管责任，强化安全生产监督检查执法，完善联合执法、风险分级管控、隐患排查治理、事故和重大险情技术调查等工作机制。</w:t>
      </w:r>
      <w:r>
        <w:rPr>
          <w:rFonts w:hint="eastAsia" w:asciiTheme="majorEastAsia" w:hAnsiTheme="majorEastAsia" w:eastAsiaTheme="majorEastAsia"/>
          <w:b/>
          <w:bCs/>
          <w:szCs w:val="28"/>
        </w:rPr>
        <w:t>完善</w:t>
      </w:r>
      <w:r>
        <w:rPr>
          <w:rFonts w:hint="eastAsia" w:asciiTheme="majorEastAsia" w:hAnsiTheme="majorEastAsia" w:eastAsiaTheme="majorEastAsia"/>
          <w:szCs w:val="28"/>
        </w:rPr>
        <w:t>安全生产责任考核机制。强化实施安全生产考核评价工作，在交通运输部门业绩考核中加大安全生产工作权重。下大气力解决执行力层层衰减的问题，切实将工作的重心放在基层。加大安全生产考核和督查、巡查力度，督促履行安全生产职责。严格实行安全生产“一票否决”。</w:t>
      </w:r>
      <w:r>
        <w:rPr>
          <w:rFonts w:hint="eastAsia" w:asciiTheme="majorEastAsia" w:hAnsiTheme="majorEastAsia" w:eastAsiaTheme="majorEastAsia"/>
          <w:b/>
          <w:bCs/>
          <w:szCs w:val="28"/>
        </w:rPr>
        <w:t>健全</w:t>
      </w:r>
      <w:r>
        <w:rPr>
          <w:rFonts w:hint="eastAsia" w:asciiTheme="majorEastAsia" w:hAnsiTheme="majorEastAsia" w:eastAsiaTheme="majorEastAsia"/>
          <w:szCs w:val="28"/>
        </w:rPr>
        <w:t>完善事故暴露问题整改机制。针对典型案例建立完善安全生产事故举一反三汲取教训的工作机制，深刻剖析事故发生的深层次原因，及时制修订法规制度、标准规范和有关政策，构建安全生产管理长效机制。针对典型安全生产事故及其原因建立通报机制，针对事故暴露出的突出问题，部署采取有效的对策和措施，开展专项整治行动。</w:t>
      </w:r>
      <w:r>
        <w:rPr>
          <w:rFonts w:hint="eastAsia" w:asciiTheme="majorEastAsia" w:hAnsiTheme="majorEastAsia" w:eastAsiaTheme="majorEastAsia"/>
          <w:b/>
          <w:bCs/>
          <w:szCs w:val="28"/>
        </w:rPr>
        <w:t>推进</w:t>
      </w:r>
      <w:r>
        <w:rPr>
          <w:rFonts w:hint="eastAsia" w:asciiTheme="majorEastAsia" w:hAnsiTheme="majorEastAsia" w:eastAsiaTheme="majorEastAsia"/>
          <w:szCs w:val="28"/>
        </w:rPr>
        <w:t>公路、水运等各方式和邮政，以及与应急、公安各部门间的安全生产监督管理信息共享。</w:t>
      </w:r>
      <w:r>
        <w:rPr>
          <w:rFonts w:hint="eastAsia" w:asciiTheme="majorEastAsia" w:hAnsiTheme="majorEastAsia" w:eastAsiaTheme="majorEastAsia"/>
          <w:b/>
          <w:bCs/>
          <w:szCs w:val="28"/>
        </w:rPr>
        <w:t>强化</w:t>
      </w:r>
      <w:r>
        <w:rPr>
          <w:rFonts w:hint="eastAsia" w:asciiTheme="majorEastAsia" w:hAnsiTheme="majorEastAsia" w:eastAsiaTheme="majorEastAsia"/>
          <w:szCs w:val="28"/>
        </w:rPr>
        <w:t>“科技兴安”工程引领，完善安全监管设施装备体系，充分利用信息化、智能化、大数据等科技手段提升动态监测预警、安全风险分析研判能力，压紧压实联合治超、源头治超、属地治超责任，督促各市（特区、区）落实治超经费和人员，积极开展货车非法改装整治，加大路面治超执法力度，全面落实“一超四罚”和失信联合惩戒制。</w:t>
      </w:r>
      <w:r>
        <w:rPr>
          <w:rFonts w:hint="eastAsia" w:asciiTheme="majorEastAsia" w:hAnsiTheme="majorEastAsia" w:eastAsiaTheme="majorEastAsia"/>
          <w:b/>
          <w:bCs/>
          <w:szCs w:val="28"/>
        </w:rPr>
        <w:t>加强</w:t>
      </w:r>
      <w:r>
        <w:rPr>
          <w:rFonts w:hint="eastAsia" w:asciiTheme="majorEastAsia" w:hAnsiTheme="majorEastAsia" w:eastAsiaTheme="majorEastAsia"/>
          <w:szCs w:val="28"/>
        </w:rPr>
        <w:t>重点船舶和重点水域安全监管，开展以船舶脱检脱管、船舶不适航、船员不适任和“脱编作业”为重点的专项整治。</w:t>
      </w:r>
      <w:r>
        <w:rPr>
          <w:rFonts w:hint="eastAsia" w:asciiTheme="majorEastAsia" w:hAnsiTheme="majorEastAsia" w:eastAsiaTheme="majorEastAsia"/>
          <w:b/>
          <w:bCs/>
          <w:szCs w:val="28"/>
        </w:rPr>
        <w:t>建立</w:t>
      </w:r>
      <w:r>
        <w:rPr>
          <w:rFonts w:hint="eastAsia" w:asciiTheme="majorEastAsia" w:hAnsiTheme="majorEastAsia" w:eastAsiaTheme="majorEastAsia"/>
          <w:szCs w:val="28"/>
        </w:rPr>
        <w:t>规范化“两个清单”，大力推广道路运输“黔道安”安全监管平台的使用，实现道路运输行业全覆盖。</w:t>
      </w:r>
      <w:r>
        <w:rPr>
          <w:rFonts w:hint="eastAsia" w:asciiTheme="majorEastAsia" w:hAnsiTheme="majorEastAsia" w:eastAsiaTheme="majorEastAsia"/>
          <w:b/>
          <w:bCs/>
          <w:szCs w:val="28"/>
        </w:rPr>
        <w:t>发挥</w:t>
      </w:r>
      <w:r>
        <w:rPr>
          <w:rFonts w:hint="eastAsia" w:asciiTheme="majorEastAsia" w:hAnsiTheme="majorEastAsia" w:eastAsiaTheme="majorEastAsia"/>
          <w:szCs w:val="28"/>
        </w:rPr>
        <w:t>道路运输安全小屋警示教育基地作用，开展警示教育和安全培训，强化驾驶员从业技能、职业道德与心理健康，强化重点岗位职业技能晋级培训，切实提升交通企业主体责任的落实力，坚决遏制重大事故发生。</w:t>
      </w:r>
      <w:r>
        <w:rPr>
          <w:rFonts w:hint="eastAsia" w:asciiTheme="majorEastAsia" w:hAnsiTheme="majorEastAsia" w:eastAsiaTheme="majorEastAsia"/>
          <w:b/>
          <w:bCs/>
          <w:szCs w:val="28"/>
        </w:rPr>
        <w:t>加强</w:t>
      </w:r>
      <w:r>
        <w:rPr>
          <w:rFonts w:hint="eastAsia" w:asciiTheme="majorEastAsia" w:hAnsiTheme="majorEastAsia" w:eastAsiaTheme="majorEastAsia"/>
          <w:szCs w:val="28"/>
        </w:rPr>
        <w:t>对网约车、道路客运、危化品运输等重点领域的安全管控，借鉴先进经验，持续完善危险货物管理制度标准，确保危险货物道路运输电子运单使用率达到100%，危货车辆全部强制安装远程提醒监控系统，实行运输过程实时定位及路径记录。</w:t>
      </w:r>
      <w:r>
        <w:rPr>
          <w:rFonts w:hint="eastAsia" w:asciiTheme="majorEastAsia" w:hAnsiTheme="majorEastAsia" w:eastAsiaTheme="majorEastAsia"/>
          <w:b/>
          <w:bCs/>
          <w:szCs w:val="28"/>
        </w:rPr>
        <w:t>鼓励</w:t>
      </w:r>
      <w:r>
        <w:rPr>
          <w:rFonts w:hint="eastAsia" w:asciiTheme="majorEastAsia" w:hAnsiTheme="majorEastAsia" w:eastAsiaTheme="majorEastAsia"/>
          <w:szCs w:val="28"/>
        </w:rPr>
        <w:t>购买第三方安全技术服务，推进实施安全生产责任保险等商业保险制度。</w:t>
      </w:r>
      <w:r>
        <w:rPr>
          <w:rFonts w:hint="eastAsia" w:asciiTheme="majorEastAsia" w:hAnsiTheme="majorEastAsia" w:eastAsiaTheme="majorEastAsia"/>
          <w:b/>
          <w:bCs/>
          <w:szCs w:val="28"/>
        </w:rPr>
        <w:t>加强</w:t>
      </w:r>
      <w:r>
        <w:rPr>
          <w:rFonts w:hint="eastAsia" w:asciiTheme="majorEastAsia" w:hAnsiTheme="majorEastAsia" w:eastAsiaTheme="majorEastAsia"/>
          <w:szCs w:val="28"/>
        </w:rPr>
        <w:t>寄递渠道安全监管和应急管理，严防利用寄递渠道从事危害公共安全、人民生命财产安全等违法活动。</w:t>
      </w:r>
      <w:r>
        <w:rPr>
          <w:rFonts w:hint="eastAsia" w:asciiTheme="majorEastAsia" w:hAnsiTheme="majorEastAsia" w:eastAsiaTheme="majorEastAsia"/>
          <w:b/>
          <w:bCs/>
          <w:szCs w:val="28"/>
        </w:rPr>
        <w:t>推进</w:t>
      </w:r>
      <w:r>
        <w:rPr>
          <w:rFonts w:hint="eastAsia" w:asciiTheme="majorEastAsia" w:hAnsiTheme="majorEastAsia" w:eastAsiaTheme="majorEastAsia"/>
          <w:szCs w:val="28"/>
        </w:rPr>
        <w:t>交通运输安全文化建设，鼓励全社会参与，提升全民交通安全素养。</w:t>
      </w:r>
      <w:r>
        <w:rPr>
          <w:rFonts w:hint="eastAsia" w:asciiTheme="majorEastAsia" w:hAnsiTheme="majorEastAsia" w:eastAsiaTheme="majorEastAsia"/>
          <w:b/>
          <w:bCs/>
          <w:szCs w:val="28"/>
        </w:rPr>
        <w:t>加强</w:t>
      </w:r>
      <w:r>
        <w:rPr>
          <w:rFonts w:hint="eastAsia" w:asciiTheme="majorEastAsia" w:hAnsiTheme="majorEastAsia" w:eastAsiaTheme="majorEastAsia"/>
          <w:szCs w:val="28"/>
        </w:rPr>
        <w:t>交通执法队伍建设。强化交通执法队伍的编制和准入管理，大力推行并完善交通行政执法人员准入条件与标准，坚持交通运输行政执法人员考试录用制度，不断优化执法队伍人员结构。加强基层安全监管执法队伍建设，尤其是执法改革后，基层安全监管执法力量存在弱化、专业化程度降低等问题，出台政策保障交通基层执法力量建设。</w:t>
      </w:r>
    </w:p>
    <w:p>
      <w:pPr>
        <w:pStyle w:val="6"/>
        <w:rPr>
          <w:rFonts w:asciiTheme="majorEastAsia" w:hAnsiTheme="majorEastAsia" w:eastAsiaTheme="majorEastAsia"/>
        </w:rPr>
      </w:pPr>
      <w:r>
        <w:rPr>
          <w:rFonts w:hint="eastAsia" w:asciiTheme="majorEastAsia" w:hAnsiTheme="majorEastAsia" w:eastAsiaTheme="majorEastAsia"/>
        </w:rPr>
        <w:t>（二）提升基础设施设备本质安全度</w:t>
      </w:r>
    </w:p>
    <w:p>
      <w:pPr>
        <w:ind w:firstLine="562" w:firstLineChars="200"/>
        <w:rPr>
          <w:rFonts w:asciiTheme="majorEastAsia" w:hAnsiTheme="majorEastAsia" w:eastAsiaTheme="majorEastAsia"/>
          <w:szCs w:val="28"/>
        </w:rPr>
      </w:pPr>
      <w:r>
        <w:rPr>
          <w:rFonts w:hint="eastAsia" w:asciiTheme="majorEastAsia" w:hAnsiTheme="majorEastAsia" w:eastAsiaTheme="majorEastAsia"/>
          <w:b/>
          <w:bCs/>
          <w:szCs w:val="28"/>
        </w:rPr>
        <w:t>提升交通基础设施安全防护能力。</w:t>
      </w:r>
      <w:r>
        <w:rPr>
          <w:rFonts w:hint="eastAsia" w:asciiTheme="majorEastAsia" w:hAnsiTheme="majorEastAsia" w:eastAsiaTheme="majorEastAsia"/>
          <w:szCs w:val="28"/>
        </w:rPr>
        <w:t>持续加大基础设施安全防护投入，加快推进实施公路安全生命防护工程向通村、通组公路延伸，加强危桥改造、桥隧隐患治理、地质灾害隐患治理、渡口升级改造、航道整治，完善配套安全设施。开展公路长大桥梁结构健康监测系统建设，促进公路交通安全设施精细化提升。督促加强安防设施后期养护管理工作，指导开展村道安全生命防护工程隐患路段排查，建立项目库，并及时加以整治。继续开展公路隧道提质升级、提升公路桥梁安全防护设施和连续长陡下坡路段专项行动。推进开展高速公路沿线环境整治、特殊结构桥梁专业化养护能力提升专项工程。开展公路自然灾害成灾普查工作，深入开展干线公路灾害防治。推进农村公路安全设施建设，规范和完善农村道路安全警示标志及设施。加大道路、桥梁、隧道等安全运行监测与智能预警系统建设力度，提高养护专业化、信息化水平，增强设施耐久性和可靠性，大幅提升关键交通基础设施安全防护能力。</w:t>
      </w:r>
      <w:r>
        <w:rPr>
          <w:rFonts w:hint="eastAsia" w:asciiTheme="majorEastAsia" w:hAnsiTheme="majorEastAsia" w:eastAsiaTheme="majorEastAsia"/>
          <w:b/>
          <w:bCs/>
          <w:szCs w:val="28"/>
        </w:rPr>
        <w:t>提升载运工具及运输装备安全。</w:t>
      </w:r>
      <w:r>
        <w:rPr>
          <w:rFonts w:hint="eastAsia" w:asciiTheme="majorEastAsia" w:hAnsiTheme="majorEastAsia" w:eastAsiaTheme="majorEastAsia"/>
          <w:szCs w:val="28"/>
        </w:rPr>
        <w:t>完善老旧船舶管理制度，提高船检技术标准，严格执行强制报废标准，推动老旧船舶的更新换代、技术改造。加强船舶技术管理，加快推进船型标准化，提高船舶安全技术准入要求。严禁安全技术不符合要求装备进入市场，基本完成老旧车辆更新改造工作。完善长途客运车辆、旅游客车、危险物品运输车辆等重点营运车辆安全技术准入标准，提高安全性能。加快完善客货运枢纽站场、公交站点、运营车辆充电场站等的配套安全设施，规范和完善道路运输生产场所的安全警示标志及相关设施。鼓励企业积极主动采用新技术新装备，着力提升运输工具、公路水运工程领域大型机械设备安全和信息化水平。鼓励在用客车参照国家标准安装前轮爆胎应急装置。推动公交车安装驾驶室隔离设施和“一键报警”设施，划设乘客安全警戒线，粘贴警示标识标语，严防乘客抢夺方向盘、干扰驾驶人安全驾驶。推进农村客运车辆安装使用卫星定位装置，推广安装视频监控装置，提升动态管理水平。加强延伸到农村的城市公交车安全监管，禁止使用有乘客站立区的公交车辆。</w:t>
      </w:r>
    </w:p>
    <w:p>
      <w:pPr>
        <w:pStyle w:val="6"/>
        <w:rPr>
          <w:rFonts w:asciiTheme="majorEastAsia" w:hAnsiTheme="majorEastAsia" w:eastAsiaTheme="majorEastAsia"/>
        </w:rPr>
      </w:pPr>
      <w:r>
        <w:rPr>
          <w:rFonts w:hint="eastAsia" w:asciiTheme="majorEastAsia" w:hAnsiTheme="majorEastAsia" w:eastAsiaTheme="majorEastAsia"/>
        </w:rPr>
        <w:t>（三）强化应急保障与救援保障能力</w:t>
      </w:r>
    </w:p>
    <w:p>
      <w:pPr>
        <w:spacing w:line="560" w:lineRule="exact"/>
        <w:ind w:firstLine="562" w:firstLineChars="200"/>
      </w:pPr>
      <w:r>
        <w:rPr>
          <w:rFonts w:hint="eastAsia"/>
          <w:b/>
          <w:bCs/>
        </w:rPr>
        <w:t>强化应急预案体系建设</w:t>
      </w:r>
      <w:r>
        <w:rPr>
          <w:rFonts w:hint="eastAsia"/>
        </w:rPr>
        <w:t>。加强应急预案的评估、优化和完善，有计划、有组织的开展各类突发事件应急处置演练。</w:t>
      </w:r>
      <w:r>
        <w:rPr>
          <w:rFonts w:hint="eastAsia"/>
          <w:b/>
          <w:bCs/>
        </w:rPr>
        <w:t>强化突发事件应急处置体系建设</w:t>
      </w:r>
      <w:r>
        <w:rPr>
          <w:rFonts w:hint="eastAsia"/>
        </w:rPr>
        <w:t>。一是完善应急信息报送体系。结合实际制定适合当前交通运输系统突发事件信息报送的相关规章制度，落实应急信息限时报告制度，坚决杜绝迟报、漏报、瞒报现象的发生。二是规范突发事件先期处置流程。突发事件发生后，遵循“属地为主、条块结合、精心组织、科学施救”的原则，立即派员赶往事发地，在确保不发生次生、衍生灾害前提下，及时核查突发事件情况和发展态势，掌握第一手资料，科学组织实施救援，并做好应急信息续报。三是做好信息发布和舆论引导工作。完善突发事件发生后事发地牵头处置责任部门信息发布启动和运行机制，统一、准确、及时发布突发事件信息。</w:t>
      </w:r>
      <w:bookmarkStart w:id="806" w:name="OLE_LINK1"/>
      <w:r>
        <w:rPr>
          <w:rFonts w:hint="eastAsia"/>
          <w:b/>
          <w:bCs/>
        </w:rPr>
        <w:t>强化</w:t>
      </w:r>
      <w:r>
        <w:rPr>
          <w:b/>
          <w:bCs/>
        </w:rPr>
        <w:t>应急指挥体系</w:t>
      </w:r>
      <w:bookmarkEnd w:id="806"/>
      <w:r>
        <w:rPr>
          <w:b/>
          <w:bCs/>
        </w:rPr>
        <w:t>建设</w:t>
      </w:r>
      <w:r>
        <w:rPr>
          <w:rFonts w:hint="eastAsia"/>
          <w:b/>
          <w:bCs/>
        </w:rPr>
        <w:t>。</w:t>
      </w:r>
      <w:r>
        <w:rPr>
          <w:rFonts w:hint="eastAsia"/>
        </w:rPr>
        <w:t>一是完成物理场所建设、基础支撑平台和业务支撑平台建设、综合交通运行监测和应急指挥工作平台，涵盖会商研判、视频会议等5个主要功能区，补齐监测覆盖范围不全面、预测预警能力不足、新技术平台缺失等短板，为全场景交通运输提供全方位管控。二是加强应急救援抢险体系建设。按照“统一指挥、分级负责、分类管理、协调联动、一线处置”指导原则，构建“水上交通、道路运输、交通工程建设”三大领域专项指挥调度体系，履行联动处置响应职责，组织和开展突发事件应急处置行动。</w:t>
      </w:r>
      <w:r>
        <w:rPr>
          <w:rFonts w:hint="eastAsia"/>
          <w:b/>
          <w:bCs/>
        </w:rPr>
        <w:t>加强应急保障体系建设。</w:t>
      </w:r>
      <w:r>
        <w:rPr>
          <w:rFonts w:hint="eastAsia"/>
        </w:rPr>
        <w:t>一是加强应急队伍的建设，建立一支高水平的应急救援、应急处置队伍。二是加大应急资金保障力度，确保应急物资储备到位。三是加强应急宣传和培训工作。充分利用“防灾减灾日”“安全生产月”等时机，广泛开展应急和安全知识宣传教育活动，普及应急和安全科普知识。四是加强值班工作体系建设。不断加强值班工作制度化，规范化建设，严格执行节假日、汛期、重要会议、重大活动期间和敏感时段值班领导带班和专职人员24小时值班制度，确保紧急重要事项与突发事件得到及时高效处置；五是积极开展应急演练，结合应急管理工作新形势、新要求以及六盘水市交通运输行业面临的主要风险，适时开展一系列应急演练，切实增强应急救援能力。</w:t>
      </w:r>
      <w:r>
        <w:rPr>
          <w:rFonts w:hint="eastAsia"/>
          <w:b/>
          <w:bCs/>
        </w:rPr>
        <w:t>加强通讯和信息化保障体系建设。</w:t>
      </w:r>
      <w:r>
        <w:rPr>
          <w:rFonts w:hint="eastAsia"/>
        </w:rPr>
        <w:t>完善应急平台体系建设，做好数据整合，强化大数据支撑，编制应急救援力量“一张图”，实现应急准备、应急指挥、应急救援、应急管理“挂图作战”，确保突发事件应急指挥调度“看得见、听得到、调得动、能会商”。实现“监管到位、协调联动、上下贯通、左右衔接、响应迅速、处置有效”的应急管理目标，建设涵盖农村公路、水路和道路运输、工程建设领域的“一令通”交通应急管理平台。</w:t>
      </w:r>
      <w:r>
        <w:rPr>
          <w:rFonts w:hint="eastAsia"/>
          <w:b/>
          <w:bCs/>
        </w:rPr>
        <w:t>加强应急征用补偿机制建设。</w:t>
      </w:r>
      <w:r>
        <w:rPr>
          <w:rFonts w:hint="eastAsia"/>
        </w:rPr>
        <w:t>根据六盘水市实际，建立健全应急征用补偿机制，激励企业积极参与应急救援各项工作。</w:t>
      </w:r>
    </w:p>
    <w:p>
      <w:pPr>
        <w:pStyle w:val="4"/>
        <w:rPr>
          <w:rFonts w:asciiTheme="majorEastAsia" w:hAnsiTheme="majorEastAsia" w:eastAsiaTheme="majorEastAsia"/>
        </w:rPr>
      </w:pPr>
      <w:bookmarkStart w:id="807" w:name="_Toc56264706"/>
      <w:bookmarkStart w:id="808" w:name="_Toc66367253"/>
      <w:bookmarkStart w:id="809" w:name="_Toc66367427"/>
      <w:bookmarkStart w:id="810" w:name="_Toc58318751"/>
      <w:bookmarkStart w:id="811" w:name="_Toc63601012"/>
      <w:bookmarkStart w:id="812" w:name="_Toc66179138"/>
      <w:bookmarkStart w:id="813" w:name="_Toc66367340"/>
      <w:bookmarkStart w:id="814" w:name="_Toc72513449"/>
      <w:bookmarkStart w:id="815" w:name="_Toc66367622"/>
      <w:bookmarkStart w:id="816" w:name="_Toc72777997"/>
      <w:bookmarkStart w:id="817" w:name="_Toc73625973"/>
      <w:bookmarkStart w:id="818" w:name="_Toc75518146"/>
      <w:bookmarkStart w:id="819" w:name="_Toc76490237"/>
      <w:bookmarkStart w:id="820" w:name="_Toc76993414"/>
      <w:bookmarkStart w:id="821" w:name="_Toc76994107"/>
      <w:bookmarkStart w:id="822" w:name="_Toc76994491"/>
      <w:bookmarkStart w:id="823" w:name="_Toc78374987"/>
      <w:bookmarkStart w:id="824" w:name="_Toc78551016"/>
      <w:bookmarkStart w:id="825" w:name="_Toc78556436"/>
      <w:bookmarkStart w:id="826" w:name="_Toc78813490"/>
      <w:bookmarkStart w:id="827" w:name="_Toc79048572"/>
      <w:bookmarkStart w:id="828" w:name="_Toc79923787"/>
      <w:bookmarkStart w:id="829" w:name="_Toc80103527"/>
      <w:bookmarkStart w:id="830" w:name="_Toc80715977"/>
      <w:bookmarkStart w:id="831" w:name="_Toc81406401"/>
      <w:bookmarkStart w:id="832" w:name="_Toc82161472"/>
      <w:bookmarkStart w:id="833" w:name="_Toc89102196"/>
      <w:r>
        <w:rPr>
          <w:rFonts w:asciiTheme="majorEastAsia" w:hAnsiTheme="majorEastAsia" w:eastAsiaTheme="majorEastAsia"/>
        </w:rPr>
        <w:t>5.1.5进一步加强绿色交通出行</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pPr>
        <w:pStyle w:val="6"/>
        <w:rPr>
          <w:rFonts w:asciiTheme="majorEastAsia" w:hAnsiTheme="majorEastAsia" w:eastAsiaTheme="majorEastAsia"/>
        </w:rPr>
      </w:pPr>
      <w:r>
        <w:rPr>
          <w:rFonts w:hint="eastAsia" w:asciiTheme="majorEastAsia" w:hAnsiTheme="majorEastAsia" w:eastAsiaTheme="majorEastAsia"/>
        </w:rPr>
        <w:t>（一）加强交通生态保护修复</w:t>
      </w:r>
    </w:p>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严格执行省交通运输厅印发的《全面加强公路水路生态环境保护工作的实施方案》及各项生态环保要求，牢固树立生态优先理念，将绿色发展理念贯穿工可、设计、建设、运营和养护全过程。注重交通建设与湿地等生态资源保护工作协调。加强资源集约节约利用,推进绿色交通基础设施建设。推进重要敏感区交通生态修复工程建设,构建生态化交通网络。针对早期工程历史遗留生态环境问题，开展交通基础设施生态绿色化改造。坚决打赢“蓝天保卫战”，开展扬尘污染专项整治，加强交通基础设施生态系统保护和修复，落实好大气、水、土壤污染防治三大战役工作任务。全面推行绿色交通建设，加快实施绿色公路、绿色港口、绿色航道、绿色汽车维修、绿色邮政快递网点等示范工程，构建交通绿化生态廊道。</w:t>
      </w:r>
    </w:p>
    <w:p>
      <w:pPr>
        <w:pStyle w:val="6"/>
        <w:rPr>
          <w:rFonts w:asciiTheme="majorEastAsia" w:hAnsiTheme="majorEastAsia" w:eastAsiaTheme="majorEastAsia"/>
        </w:rPr>
      </w:pPr>
      <w:r>
        <w:rPr>
          <w:rFonts w:hint="eastAsia" w:asciiTheme="majorEastAsia" w:hAnsiTheme="majorEastAsia" w:eastAsiaTheme="majorEastAsia"/>
        </w:rPr>
        <w:t>（二）促进资源节约集约利用</w:t>
      </w:r>
    </w:p>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统筹交通线路、枢纽等设施布局，集约利用土地、通道线位、航道等资源，减少生态影响。统筹推进水利水电枢纽和通航建筑物规划建设。推动废旧路面、沥青等材料再生利用，加强老旧设施更新利用，提高不可再生资源利用效率。全面推广温拌沥青等节能技术应用，加快推广应用节能、节水、节材及可再生能源利用等新技术、新产品和新设备。推进邮件快递包装绿色化、减量化和可循环。</w:t>
      </w:r>
    </w:p>
    <w:p>
      <w:pPr>
        <w:pStyle w:val="6"/>
        <w:rPr>
          <w:rFonts w:asciiTheme="majorEastAsia" w:hAnsiTheme="majorEastAsia" w:eastAsiaTheme="majorEastAsia"/>
        </w:rPr>
      </w:pPr>
      <w:r>
        <w:rPr>
          <w:rFonts w:hint="eastAsia" w:asciiTheme="majorEastAsia" w:hAnsiTheme="majorEastAsia" w:eastAsiaTheme="majorEastAsia"/>
        </w:rPr>
        <w:t>（三）提高绿色交通方式分担率</w:t>
      </w:r>
    </w:p>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鼓励货运物流企业规模化、集约化发展。广泛运用信息化、网络化技术，加强货源组织和运力调配，降低车船空驶率，提高运输效率。加快构建绿色出行服务体系，加快推进城乡公共交通一体化发展，全面提升公共交通服务品质，完善城市慢行交通系统，提升自行车和清洁能源车便民服务水平，提高城市绿色出行比例。</w:t>
      </w:r>
    </w:p>
    <w:p>
      <w:pPr>
        <w:pStyle w:val="6"/>
        <w:rPr>
          <w:rFonts w:asciiTheme="majorEastAsia" w:hAnsiTheme="majorEastAsia" w:eastAsiaTheme="majorEastAsia"/>
        </w:rPr>
      </w:pPr>
      <w:r>
        <w:rPr>
          <w:rFonts w:hint="eastAsia" w:asciiTheme="majorEastAsia" w:hAnsiTheme="majorEastAsia" w:eastAsiaTheme="majorEastAsia"/>
        </w:rPr>
        <w:t>（四）加强重点领域污染防治</w:t>
      </w:r>
    </w:p>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加大推广新能源和清洁能源车船等装备在城市公交、出租汽车、城市配送、邮政快递、水运等领域应用。推进新型内燃机车应用。持续推进老旧柴油货车和施工机械等提前淘汰更新，推动柴油货车尾气排放深度治理，全面实施汽车排放检测与强制维修制度(I/M制度）。加快推进船舶及港口污染治理，船舶防污染改造率达100%，港口污染接收设施100%建成投用。推进船舶排放控制区有效实施，严格执行船舶强制报废制度，加大油气回收力度。</w:t>
      </w:r>
    </w:p>
    <w:p>
      <w:pPr>
        <w:pStyle w:val="6"/>
        <w:rPr>
          <w:rFonts w:asciiTheme="majorEastAsia" w:hAnsiTheme="majorEastAsia" w:eastAsiaTheme="majorEastAsia"/>
        </w:rPr>
      </w:pPr>
      <w:r>
        <w:rPr>
          <w:rFonts w:hint="eastAsia" w:asciiTheme="majorEastAsia" w:hAnsiTheme="majorEastAsia" w:eastAsiaTheme="majorEastAsia"/>
        </w:rPr>
        <w:t>（五）深入推进节能减排</w:t>
      </w:r>
    </w:p>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在公路、港口、客货运输枢纽全面推广节能减排技术应用，加快淘汰高耗能、低效率的老旧设备，全面推广应用节能设施设备；推进高速公路、普通国省道改扩建和维修养护路面材料回收和循环利用；加快推进公路服务区、港口、枢纽场站等区域污水处理及循环利用；全面推进城市绿色货运配送发展，推动新能源城市配送车辆便利通行政策全面落地实施；推进绿色出行体系建设，坚持公共交通优先发展，完善慢行交通系统建设，提升绿色出行比例。</w:t>
      </w:r>
    </w:p>
    <w:p>
      <w:pPr>
        <w:pStyle w:val="6"/>
        <w:rPr>
          <w:rFonts w:asciiTheme="majorEastAsia" w:hAnsiTheme="majorEastAsia" w:eastAsiaTheme="majorEastAsia"/>
        </w:rPr>
      </w:pPr>
      <w:r>
        <w:rPr>
          <w:rFonts w:hint="eastAsia" w:asciiTheme="majorEastAsia" w:hAnsiTheme="majorEastAsia" w:eastAsiaTheme="majorEastAsia"/>
        </w:rPr>
        <w:t>（六）推广新能源与清洁能源应用</w:t>
      </w:r>
    </w:p>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积极推动城市公交车、出租车、汽车租赁等领域应用新能源及清洁能源车辆，在城市物流配送、邮政快递等领域以及物流园区、港口等区域，优先使用新能源和清洁能源车辆及作业机械；全面推进高速公路服务区、交通枢纽、停车场等区域充电、加气设施建设；在客货运输枢纽适当开展太阳能、风能、地热能等清洁能源与新能源利用。</w:t>
      </w:r>
    </w:p>
    <w:p>
      <w:pPr>
        <w:pStyle w:val="4"/>
        <w:rPr>
          <w:rFonts w:asciiTheme="majorEastAsia" w:hAnsiTheme="majorEastAsia" w:eastAsiaTheme="majorEastAsia"/>
        </w:rPr>
      </w:pPr>
      <w:bookmarkStart w:id="834" w:name="_Toc63601013"/>
      <w:bookmarkStart w:id="835" w:name="_Toc66367341"/>
      <w:bookmarkStart w:id="836" w:name="_Toc58318752"/>
      <w:bookmarkStart w:id="837" w:name="_Toc66367428"/>
      <w:bookmarkStart w:id="838" w:name="_Toc66367254"/>
      <w:bookmarkStart w:id="839" w:name="_Toc66179139"/>
      <w:bookmarkStart w:id="840" w:name="_Toc66367623"/>
      <w:bookmarkStart w:id="841" w:name="_Toc72513450"/>
      <w:bookmarkStart w:id="842" w:name="_Toc56264707"/>
      <w:bookmarkStart w:id="843" w:name="_Toc72777998"/>
      <w:bookmarkStart w:id="844" w:name="_Toc73625974"/>
      <w:bookmarkStart w:id="845" w:name="_Toc75518147"/>
      <w:bookmarkStart w:id="846" w:name="_Toc76490238"/>
      <w:bookmarkStart w:id="847" w:name="_Toc76993415"/>
      <w:bookmarkStart w:id="848" w:name="_Toc76994108"/>
      <w:bookmarkStart w:id="849" w:name="_Toc76994492"/>
      <w:bookmarkStart w:id="850" w:name="_Toc78374988"/>
      <w:bookmarkStart w:id="851" w:name="_Toc78551017"/>
      <w:bookmarkStart w:id="852" w:name="_Toc78556437"/>
      <w:bookmarkStart w:id="853" w:name="_Toc78813491"/>
      <w:bookmarkStart w:id="854" w:name="_Toc79048573"/>
      <w:bookmarkStart w:id="855" w:name="_Toc79923788"/>
      <w:bookmarkStart w:id="856" w:name="_Toc80103528"/>
      <w:bookmarkStart w:id="857" w:name="_Toc80715978"/>
      <w:bookmarkStart w:id="858" w:name="_Toc81406402"/>
      <w:bookmarkStart w:id="859" w:name="_Toc82161473"/>
      <w:bookmarkStart w:id="860" w:name="_Toc89102197"/>
      <w:r>
        <w:rPr>
          <w:rFonts w:hint="eastAsia" w:asciiTheme="majorEastAsia" w:hAnsiTheme="majorEastAsia" w:eastAsiaTheme="majorEastAsia"/>
        </w:rPr>
        <w:t>5.1.</w:t>
      </w:r>
      <w:r>
        <w:rPr>
          <w:rFonts w:asciiTheme="majorEastAsia" w:hAnsiTheme="majorEastAsia" w:eastAsiaTheme="majorEastAsia"/>
        </w:rPr>
        <w:t>6</w:t>
      </w:r>
      <w:r>
        <w:rPr>
          <w:rFonts w:hint="eastAsia" w:asciiTheme="majorEastAsia" w:hAnsiTheme="majorEastAsia" w:eastAsiaTheme="majorEastAsia"/>
        </w:rPr>
        <w:t>加强行政执法监督</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pPr>
        <w:pStyle w:val="6"/>
        <w:rPr>
          <w:rFonts w:asciiTheme="majorEastAsia" w:hAnsiTheme="majorEastAsia" w:eastAsiaTheme="majorEastAsia"/>
        </w:rPr>
      </w:pPr>
      <w:r>
        <w:rPr>
          <w:rFonts w:hint="eastAsia" w:asciiTheme="majorEastAsia" w:hAnsiTheme="majorEastAsia" w:eastAsiaTheme="majorEastAsia"/>
        </w:rPr>
        <w:t>（一）加强重点执法监督</w:t>
      </w:r>
    </w:p>
    <w:p>
      <w:pPr>
        <w:widowControl/>
        <w:spacing w:line="240" w:lineRule="auto"/>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加强对货运超限超载违法运输、客运打非治违、路权路产违法治理等重点领域行政权力的运行制约和监督,加大执法岗位定期轮岗、分级授权、分岗设权,努力形成有权必有责、用权必担当、滥权必追责的良好氛围。继续推进政务公开,坚持以公开为常态、不公开为例外原则,做到法定主动公开内容全部公开到位;提升政府信息公开申请办理工作质量,依法保障人民群众合理信息需求。完善交通运输执法程序，严格落实行政执法“三项制度”，加大对县级交通运输综合行政执法工作的督促、检查、指导力度，确保年度各项执法工作目标顺利完成。推进交通运输行政执法信息化建设，健全交通运输行政执法与刑事司法衔接机制，提升综合执法效率。</w:t>
      </w:r>
    </w:p>
    <w:p>
      <w:pPr>
        <w:pStyle w:val="6"/>
        <w:rPr>
          <w:rFonts w:asciiTheme="majorEastAsia" w:hAnsiTheme="majorEastAsia" w:eastAsiaTheme="majorEastAsia"/>
        </w:rPr>
      </w:pPr>
      <w:r>
        <w:rPr>
          <w:rFonts w:hint="eastAsia" w:asciiTheme="majorEastAsia" w:hAnsiTheme="majorEastAsia" w:eastAsiaTheme="majorEastAsia"/>
        </w:rPr>
        <w:t>（二）推进执法信息化建设</w:t>
      </w:r>
    </w:p>
    <w:p>
      <w:pPr>
        <w:spacing w:line="570" w:lineRule="exact"/>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充分利用互联网、大数据、云计算等新技术，积极推广网络监测、视频监控等非现场监管方式，加大综合行政执法信息管理系统、信用交通等信息系统建设完善力度，建立综合交通运输信息资源共享交换机制，推动日常监管、行政处罚信息实时流转、实时抄告、实时监控、实时共享。</w:t>
      </w:r>
    </w:p>
    <w:p>
      <w:pPr>
        <w:pStyle w:val="6"/>
        <w:rPr>
          <w:rFonts w:asciiTheme="majorEastAsia" w:hAnsiTheme="majorEastAsia" w:eastAsiaTheme="majorEastAsia"/>
        </w:rPr>
      </w:pPr>
      <w:r>
        <w:rPr>
          <w:rFonts w:hint="eastAsia" w:asciiTheme="majorEastAsia" w:hAnsiTheme="majorEastAsia" w:eastAsiaTheme="majorEastAsia"/>
        </w:rPr>
        <w:t>（三）强化超限运输治理</w:t>
      </w:r>
    </w:p>
    <w:p>
      <w:pPr>
        <w:spacing w:line="570" w:lineRule="exact"/>
        <w:ind w:firstLine="560" w:firstLineChars="200"/>
        <w:rPr>
          <w:rFonts w:ascii="FangSong_GB2312" w:hAnsi="FangSong_GB2312" w:eastAsia="FangSong_GB2312" w:cs="FangSong_GB2312"/>
          <w:color w:val="000000"/>
          <w:kern w:val="0"/>
          <w:sz w:val="32"/>
          <w:szCs w:val="32"/>
          <w:lang w:bidi="ar"/>
        </w:rPr>
      </w:pPr>
      <w:r>
        <w:rPr>
          <w:rFonts w:hint="eastAsia" w:asciiTheme="majorEastAsia" w:hAnsiTheme="majorEastAsia" w:eastAsiaTheme="majorEastAsia"/>
          <w:szCs w:val="28"/>
        </w:rPr>
        <w:t>交通运输管理机构要会同市场监管等部门制定源头监管方案，加大源头巡查力度，落实源头监管责任，促使运输企业、货运源头企业严格按标准装载，切实将安全隐患消灭在萌芽状态。各地道路运输管理职责的机构依法对违法货运车辆、货运车辆驾驶人、道路运输企业和货运场所经营者进行相应处罚，切实落实“一超四罚”。加强货车超限超载治理，严格执行全国统一的超限超载认定标准和超限检测站联合执法工作流程，明确并公布各区域超限检测站点联合执法模式。建立健全依法打击冲关闯卡违法行为长效机制和应急管控措施，加快推进车辆信息、执法信息共享。健全公路治超“黑名单”制度，对严重违法超限超载运输当事人实施联合惩戒</w:t>
      </w:r>
      <w:r>
        <w:rPr>
          <w:rFonts w:hint="eastAsia" w:ascii="FangSong_GB2312" w:hAnsi="FangSong_GB2312" w:eastAsia="FangSong_GB2312" w:cs="FangSong_GB2312"/>
          <w:color w:val="000000"/>
          <w:kern w:val="0"/>
          <w:sz w:val="32"/>
          <w:szCs w:val="32"/>
          <w:lang w:bidi="ar"/>
        </w:rPr>
        <w:t>。</w:t>
      </w:r>
    </w:p>
    <w:p>
      <w:pPr>
        <w:pStyle w:val="4"/>
        <w:rPr>
          <w:rFonts w:asciiTheme="majorEastAsia" w:hAnsiTheme="majorEastAsia" w:eastAsiaTheme="majorEastAsia"/>
        </w:rPr>
      </w:pPr>
      <w:bookmarkStart w:id="861" w:name="_Toc66179140"/>
      <w:bookmarkStart w:id="862" w:name="_Toc66367342"/>
      <w:bookmarkStart w:id="863" w:name="_Toc56264708"/>
      <w:bookmarkStart w:id="864" w:name="_Toc66367429"/>
      <w:bookmarkStart w:id="865" w:name="_Toc72513451"/>
      <w:bookmarkStart w:id="866" w:name="_Toc66367624"/>
      <w:bookmarkStart w:id="867" w:name="_Toc58318753"/>
      <w:bookmarkStart w:id="868" w:name="_Toc63601014"/>
      <w:bookmarkStart w:id="869" w:name="_Toc66367255"/>
      <w:bookmarkStart w:id="870" w:name="_Toc72777999"/>
      <w:bookmarkStart w:id="871" w:name="_Toc73625975"/>
      <w:bookmarkStart w:id="872" w:name="_Toc75518148"/>
      <w:bookmarkStart w:id="873" w:name="_Toc76490239"/>
      <w:bookmarkStart w:id="874" w:name="_Toc76993416"/>
      <w:bookmarkStart w:id="875" w:name="_Toc76994109"/>
      <w:bookmarkStart w:id="876" w:name="_Toc76994493"/>
      <w:bookmarkStart w:id="877" w:name="_Toc78374989"/>
      <w:bookmarkStart w:id="878" w:name="_Toc78551018"/>
      <w:bookmarkStart w:id="879" w:name="_Toc78556438"/>
      <w:bookmarkStart w:id="880" w:name="_Toc78813492"/>
      <w:bookmarkStart w:id="881" w:name="_Toc79048574"/>
      <w:bookmarkStart w:id="882" w:name="_Toc79923789"/>
      <w:bookmarkStart w:id="883" w:name="_Toc80103529"/>
      <w:bookmarkStart w:id="884" w:name="_Toc80715979"/>
      <w:bookmarkStart w:id="885" w:name="_Toc81406403"/>
      <w:bookmarkStart w:id="886" w:name="_Toc82161474"/>
      <w:bookmarkStart w:id="887" w:name="_Toc89102198"/>
      <w:r>
        <w:rPr>
          <w:rFonts w:hint="eastAsia" w:asciiTheme="majorEastAsia" w:hAnsiTheme="majorEastAsia" w:eastAsiaTheme="majorEastAsia"/>
        </w:rPr>
        <w:t>5.1.</w:t>
      </w:r>
      <w:r>
        <w:rPr>
          <w:rFonts w:asciiTheme="majorEastAsia" w:hAnsiTheme="majorEastAsia" w:eastAsiaTheme="majorEastAsia"/>
        </w:rPr>
        <w:t>7推进科技创新能力及信息化水平</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pPr>
        <w:pStyle w:val="6"/>
        <w:rPr>
          <w:rFonts w:asciiTheme="majorEastAsia" w:hAnsiTheme="majorEastAsia" w:eastAsiaTheme="majorEastAsia"/>
        </w:rPr>
      </w:pPr>
      <w:r>
        <w:rPr>
          <w:rFonts w:hint="eastAsia" w:asciiTheme="majorEastAsia" w:hAnsiTheme="majorEastAsia" w:eastAsiaTheme="majorEastAsia"/>
        </w:rPr>
        <w:t>（一）深化智慧交通应用</w:t>
      </w:r>
    </w:p>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推动交通基础设施全要素、全周期数字化，加强技术状况、交通运行等数据的积累和挖掘，积极推进智慧公路和智慧水运建设。</w:t>
      </w:r>
      <w:r>
        <w:rPr>
          <w:rFonts w:hint="eastAsia" w:asciiTheme="majorEastAsia" w:hAnsiTheme="majorEastAsia" w:eastAsiaTheme="majorEastAsia"/>
          <w:b/>
          <w:bCs/>
          <w:szCs w:val="28"/>
        </w:rPr>
        <w:t>一是</w:t>
      </w:r>
      <w:r>
        <w:rPr>
          <w:rFonts w:hint="eastAsia" w:asciiTheme="majorEastAsia" w:hAnsiTheme="majorEastAsia" w:eastAsiaTheme="majorEastAsia"/>
          <w:szCs w:val="28"/>
        </w:rPr>
        <w:t>建设新农村交通综合信息服务平台，整合交通、邮政客运等各类资源，形成以“交通运输＋农村新生活”为特色的新农村交通综合服务开放生态平台。依托“四好农村路”示范市创建，推进智慧化公路管理养护平台建设，建立数据传输快捷、信息资源共享、管理养护高效的覆盖市区两级的农村公路管理养护信息化平台。</w:t>
      </w:r>
      <w:r>
        <w:rPr>
          <w:rFonts w:hint="eastAsia" w:asciiTheme="majorEastAsia" w:hAnsiTheme="majorEastAsia" w:eastAsiaTheme="majorEastAsia"/>
          <w:b/>
          <w:bCs/>
          <w:szCs w:val="28"/>
        </w:rPr>
        <w:t>二是</w:t>
      </w:r>
      <w:r>
        <w:rPr>
          <w:rFonts w:hint="eastAsia" w:asciiTheme="majorEastAsia" w:hAnsiTheme="majorEastAsia" w:eastAsiaTheme="majorEastAsia"/>
          <w:szCs w:val="28"/>
        </w:rPr>
        <w:t>大力发展“互联网+”高效物流新模式、新业态，加快物流组成要素和活动的数字化，构建覆盖不同运输方式、不同层次的物流数据资源开放共享机制，推动物流数据资源高效汇聚、优势互补和协同开发。</w:t>
      </w:r>
      <w:r>
        <w:rPr>
          <w:rFonts w:hint="eastAsia" w:asciiTheme="majorEastAsia" w:hAnsiTheme="majorEastAsia" w:eastAsiaTheme="majorEastAsia"/>
          <w:b/>
          <w:bCs/>
          <w:szCs w:val="28"/>
        </w:rPr>
        <w:t>三是</w:t>
      </w:r>
      <w:r>
        <w:rPr>
          <w:rFonts w:hint="eastAsia" w:asciiTheme="majorEastAsia" w:hAnsiTheme="majorEastAsia" w:eastAsiaTheme="majorEastAsia"/>
          <w:szCs w:val="28"/>
        </w:rPr>
        <w:t>推进综合交通出行领域的大数据应用，打造数字化出行助手，提供“门到门”的全程出行定制服务。推动“互联网+”便捷交通发展，鼓励和规范发展定制公交、网络预约出租车、互联网租赁自行车、小微型客车分时租赁等出行服务新业态。推广使用一卡通，实现公交、出租、ETC、酒店、超市等领域的快速支付，提高公众出行便捷服务水平。</w:t>
      </w:r>
      <w:r>
        <w:rPr>
          <w:rFonts w:hint="eastAsia" w:asciiTheme="majorEastAsia" w:hAnsiTheme="majorEastAsia" w:eastAsiaTheme="majorEastAsia"/>
          <w:b/>
          <w:bCs/>
          <w:szCs w:val="28"/>
        </w:rPr>
        <w:t>四是</w:t>
      </w:r>
      <w:r>
        <w:rPr>
          <w:rFonts w:hint="eastAsia" w:asciiTheme="majorEastAsia" w:hAnsiTheme="majorEastAsia" w:eastAsiaTheme="majorEastAsia"/>
          <w:szCs w:val="28"/>
        </w:rPr>
        <w:t>大力发展智慧客运服务，以畅通的信息链实现不同地区间的信息共享和供需匹配，在现阶段已经实现的掌上购票、扫码上车等技术性手段应用的基础上建立客户关系管理、市场细分等一系列现代服务业的管理模式。积极完善客运系统信息化建设，异地售票和网络售票系统得到推广应用。</w:t>
      </w:r>
      <w:r>
        <w:rPr>
          <w:rFonts w:hint="eastAsia" w:asciiTheme="majorEastAsia" w:hAnsiTheme="majorEastAsia" w:eastAsiaTheme="majorEastAsia"/>
          <w:b/>
          <w:bCs/>
          <w:szCs w:val="28"/>
        </w:rPr>
        <w:t>五是</w:t>
      </w:r>
      <w:r>
        <w:rPr>
          <w:rFonts w:hint="eastAsia" w:asciiTheme="majorEastAsia" w:hAnsiTheme="majorEastAsia" w:eastAsiaTheme="majorEastAsia"/>
          <w:szCs w:val="28"/>
        </w:rPr>
        <w:t>积极推进货运系统信息化建设，加快构建集信息发布、电子商务、电子政务等功能于一体的交通运输物流公共信息服务平台，推动物流信息平台与供应链上下游企业系统对接，增强协同运作能力。</w:t>
      </w:r>
    </w:p>
    <w:p>
      <w:pPr>
        <w:pStyle w:val="6"/>
        <w:rPr>
          <w:rFonts w:asciiTheme="majorEastAsia" w:hAnsiTheme="majorEastAsia" w:eastAsiaTheme="majorEastAsia"/>
        </w:rPr>
      </w:pPr>
      <w:r>
        <w:rPr>
          <w:rFonts w:hint="eastAsia" w:asciiTheme="majorEastAsia" w:hAnsiTheme="majorEastAsia" w:eastAsiaTheme="majorEastAsia"/>
        </w:rPr>
        <w:t>（二）交通运输行业监管实现信息化和服务动态化</w:t>
      </w:r>
    </w:p>
    <w:p>
      <w:pPr>
        <w:ind w:firstLine="560" w:firstLineChars="200"/>
        <w:rPr>
          <w:rFonts w:asciiTheme="majorEastAsia" w:hAnsiTheme="majorEastAsia" w:eastAsiaTheme="majorEastAsia"/>
          <w:bCs/>
          <w:szCs w:val="28"/>
        </w:rPr>
      </w:pPr>
      <w:r>
        <w:rPr>
          <w:rFonts w:hint="eastAsia" w:asciiTheme="majorEastAsia" w:hAnsiTheme="majorEastAsia" w:eastAsiaTheme="majorEastAsia"/>
          <w:bCs/>
          <w:szCs w:val="28"/>
        </w:rPr>
        <w:t>充分利用信息化手段加强行业监管，规范行业行为，提高行政效能；加强突发事件监测，缩短应急反应时间，增强安全应急保障能力；加强交通动态信息服务，改善百姓出行质量，提升公共服务能力；建设交通运输运行监测与决策分析系统，全面掌握行业运行状态数据。</w:t>
      </w:r>
      <w:r>
        <w:rPr>
          <w:rFonts w:hint="eastAsia" w:asciiTheme="majorEastAsia" w:hAnsiTheme="majorEastAsia" w:eastAsiaTheme="majorEastAsia"/>
          <w:szCs w:val="28"/>
        </w:rPr>
        <w:t>同时组织推进交通运输行政执法综合管理信息系统建设，覆盖全市各级交通运输主管部门和公路路政、道路运政、水路运政、航道行政、港口行政、海事行政、质量安全监督、综合执法等执法门类的协同执法与联网监管体系，形成互联互通、信息共享、业务协同、智能便捷的全市交通运输行政执法信息化体系，实现执法队伍管理规范化、执法办案智能化、跨区域跨部门执法协同化、监督管理精细化、执法服务优质化。同时开展重点营运车辆动态监管系统升级，实现对“两客一危”车辆不安全状态、驾驶人员不安全行为的实时预警和主动干预。</w:t>
      </w:r>
      <w:r>
        <w:rPr>
          <w:rFonts w:hint="eastAsia" w:asciiTheme="majorEastAsia" w:hAnsiTheme="majorEastAsia" w:eastAsiaTheme="majorEastAsia"/>
          <w:bCs/>
          <w:szCs w:val="28"/>
        </w:rPr>
        <w:t>形成交通业务全面监管，交通信息资源跨区域共建共享、交通业务管理跨区域全面协同、交通应急跨区域联动运行、交通出行信息服务跨区域动态集成，促进形成安全、高效、便捷、畅通的交通运输环境。</w:t>
      </w:r>
    </w:p>
    <w:p>
      <w:pPr>
        <w:jc w:val="center"/>
        <w:rPr>
          <w:rFonts w:asciiTheme="majorEastAsia" w:hAnsiTheme="majorEastAsia" w:eastAsiaTheme="majorEastAsia"/>
          <w:bCs/>
          <w:szCs w:val="28"/>
        </w:rPr>
      </w:pPr>
      <w:r>
        <w:rPr>
          <w:rFonts w:hint="eastAsia" w:ascii="宋体" w:hAnsi="宋体" w:cs="宋体"/>
          <w:sz w:val="24"/>
        </w:rPr>
        <w:drawing>
          <wp:inline distT="0" distB="0" distL="0" distR="0">
            <wp:extent cx="5257800" cy="43910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57800" cy="4391025"/>
                    </a:xfrm>
                    <a:prstGeom prst="rect">
                      <a:avLst/>
                    </a:prstGeom>
                    <a:noFill/>
                    <a:ln>
                      <a:noFill/>
                    </a:ln>
                  </pic:spPr>
                </pic:pic>
              </a:graphicData>
            </a:graphic>
          </wp:inline>
        </w:drawing>
      </w:r>
    </w:p>
    <w:p>
      <w:pPr>
        <w:ind w:right="420" w:firstLine="562"/>
        <w:jc w:val="center"/>
        <w:rPr>
          <w:rFonts w:asciiTheme="majorEastAsia" w:hAnsiTheme="majorEastAsia" w:eastAsiaTheme="majorEastAsia"/>
          <w:b/>
          <w:bCs/>
          <w:sz w:val="24"/>
        </w:rPr>
      </w:pPr>
      <w:r>
        <w:rPr>
          <w:rFonts w:hint="eastAsia" w:asciiTheme="majorEastAsia" w:hAnsiTheme="majorEastAsia" w:eastAsiaTheme="majorEastAsia"/>
          <w:b/>
          <w:bCs/>
          <w:sz w:val="24"/>
        </w:rPr>
        <w:t>图</w:t>
      </w:r>
      <w:r>
        <w:rPr>
          <w:rFonts w:asciiTheme="majorEastAsia" w:hAnsiTheme="majorEastAsia" w:eastAsiaTheme="majorEastAsia"/>
          <w:b/>
          <w:bCs/>
          <w:sz w:val="24"/>
        </w:rPr>
        <w:t>5-1</w:t>
      </w:r>
      <w:r>
        <w:rPr>
          <w:rFonts w:hint="eastAsia" w:asciiTheme="majorEastAsia" w:hAnsiTheme="majorEastAsia" w:eastAsiaTheme="majorEastAsia"/>
          <w:b/>
          <w:bCs/>
          <w:sz w:val="24"/>
        </w:rPr>
        <w:t>交通运输行政执法综合管理信息系统应用架构图</w:t>
      </w:r>
    </w:p>
    <w:p>
      <w:pPr>
        <w:pStyle w:val="6"/>
        <w:rPr>
          <w:rFonts w:asciiTheme="majorEastAsia" w:hAnsiTheme="majorEastAsia" w:eastAsiaTheme="majorEastAsia"/>
        </w:rPr>
      </w:pPr>
      <w:r>
        <w:rPr>
          <w:rFonts w:hint="eastAsia" w:asciiTheme="majorEastAsia" w:hAnsiTheme="majorEastAsia" w:eastAsiaTheme="majorEastAsia"/>
        </w:rPr>
        <w:t>（三）积极推进普通国省道信息化提升</w:t>
      </w:r>
    </w:p>
    <w:p>
      <w:pPr>
        <w:ind w:firstLine="560" w:firstLineChars="200"/>
        <w:rPr>
          <w:rFonts w:asciiTheme="majorEastAsia" w:hAnsiTheme="majorEastAsia" w:eastAsiaTheme="majorEastAsia"/>
          <w:szCs w:val="28"/>
        </w:rPr>
      </w:pPr>
      <w:r>
        <w:rPr>
          <w:rFonts w:asciiTheme="majorEastAsia" w:hAnsiTheme="majorEastAsia" w:eastAsiaTheme="majorEastAsia"/>
          <w:szCs w:val="28"/>
        </w:rPr>
        <w:t>推进“互联网+”路网管理，加快云计算、大数据等现代信息技术的集成创新与应用，有效提升普通公路网管理智能化水平。加快推进普通国省道路网监控设备及信息发布设备建设，对重要路段、特大桥梁、隧道等构造物进行实时监控，提高普通国省道的安全性和可靠性，增强对高速公路的分流和应急替代能力。加强由网络、可变情报板、电视与广播媒体等构成的多模式信息指示与发布设备渠道建设，为沿线百姓及出行者提供及时、准确、全面的出行信息，完善普通国省道的指路系统，为客货运输的路径选择提供更加详实可靠的信息支撑。</w:t>
      </w:r>
    </w:p>
    <w:p>
      <w:pPr>
        <w:pStyle w:val="6"/>
        <w:rPr>
          <w:rFonts w:asciiTheme="majorEastAsia" w:hAnsiTheme="majorEastAsia" w:eastAsiaTheme="majorEastAsia"/>
        </w:rPr>
      </w:pPr>
      <w:r>
        <w:rPr>
          <w:rFonts w:hint="eastAsia" w:asciiTheme="majorEastAsia" w:hAnsiTheme="majorEastAsia" w:eastAsiaTheme="majorEastAsia"/>
        </w:rPr>
        <w:t>（四）推进治超联网管理信息系统建设</w:t>
      </w:r>
    </w:p>
    <w:tbl>
      <w:tblPr>
        <w:tblStyle w:val="19"/>
        <w:tblpPr w:leftFromText="180" w:rightFromText="180" w:vertAnchor="text" w:horzAnchor="margin" w:tblpY="3374"/>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8222" w:type="dxa"/>
          </w:tcPr>
          <w:p>
            <w:pPr>
              <w:jc w:val="center"/>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专栏5</w:t>
            </w:r>
            <w:r>
              <w:rPr>
                <w:rFonts w:asciiTheme="majorEastAsia" w:hAnsiTheme="majorEastAsia" w:eastAsiaTheme="majorEastAsia"/>
                <w:b/>
                <w:bCs/>
                <w:sz w:val="20"/>
                <w:szCs w:val="20"/>
              </w:rPr>
              <w:t xml:space="preserve">-8 </w:t>
            </w:r>
            <w:r>
              <w:rPr>
                <w:rFonts w:hint="eastAsia" w:asciiTheme="majorEastAsia" w:hAnsiTheme="majorEastAsia" w:eastAsiaTheme="majorEastAsia"/>
                <w:b/>
                <w:bCs/>
                <w:sz w:val="20"/>
                <w:szCs w:val="20"/>
              </w:rPr>
              <w:t>“十四五”期信息化重点建设项目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22" w:type="dxa"/>
          </w:tcPr>
          <w:p>
            <w:pPr>
              <w:rPr>
                <w:rFonts w:asciiTheme="majorEastAsia" w:hAnsiTheme="majorEastAsia" w:eastAsiaTheme="majorEastAsia"/>
                <w:bCs/>
                <w:sz w:val="20"/>
                <w:szCs w:val="20"/>
              </w:rPr>
            </w:pPr>
            <w:r>
              <w:rPr>
                <w:rFonts w:hint="eastAsia" w:asciiTheme="majorEastAsia" w:hAnsiTheme="majorEastAsia" w:eastAsiaTheme="majorEastAsia" w:cstheme="minorEastAsia"/>
                <w:b/>
                <w:bCs/>
                <w:sz w:val="20"/>
                <w:szCs w:val="20"/>
              </w:rPr>
              <w:t>新建</w:t>
            </w:r>
            <w:r>
              <w:rPr>
                <w:rFonts w:hint="eastAsia" w:asciiTheme="majorEastAsia" w:hAnsiTheme="majorEastAsia" w:eastAsiaTheme="majorEastAsia"/>
                <w:bCs/>
                <w:sz w:val="20"/>
                <w:szCs w:val="20"/>
              </w:rPr>
              <w:t>六枝特区智能化城市公交管理站、智能治超点、交通综合管理站、牂牁江水上搜救中心、六盘水道路运输从业资格考试点(3个)、六盘水市公交智能调度管理中心。</w:t>
            </w:r>
          </w:p>
        </w:tc>
      </w:tr>
    </w:tbl>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全面完成辖区内交通运输管理部门“黔道安”安全监管平台应用工作，推广交通建设质监平台系统，鼓励建设科技治超点，形成全市治超“一张网”，实现全市治超“一盘棋”，提升规范执法、精确查处、精准服务的能力，有效遏制违法超限超载运输，为加快建设交通强国提供坚强保障，提升公路路网安全管理水平。</w:t>
      </w:r>
    </w:p>
    <w:p>
      <w:pPr>
        <w:pStyle w:val="4"/>
        <w:rPr>
          <w:rFonts w:asciiTheme="majorEastAsia" w:hAnsiTheme="majorEastAsia" w:eastAsiaTheme="majorEastAsia"/>
        </w:rPr>
      </w:pPr>
      <w:bookmarkStart w:id="888" w:name="_Toc66367625"/>
      <w:bookmarkStart w:id="889" w:name="_Toc63601015"/>
      <w:bookmarkStart w:id="890" w:name="_Toc66367256"/>
      <w:bookmarkStart w:id="891" w:name="_Toc66179141"/>
      <w:bookmarkStart w:id="892" w:name="_Toc66367430"/>
      <w:bookmarkStart w:id="893" w:name="_Toc66367343"/>
      <w:bookmarkStart w:id="894" w:name="_Toc56264709"/>
      <w:bookmarkStart w:id="895" w:name="_Toc72513452"/>
      <w:bookmarkStart w:id="896" w:name="_Toc58318754"/>
      <w:bookmarkStart w:id="897" w:name="_Toc72778000"/>
      <w:bookmarkStart w:id="898" w:name="_Toc73625976"/>
      <w:bookmarkStart w:id="899" w:name="_Toc75518149"/>
      <w:bookmarkStart w:id="900" w:name="_Toc76490240"/>
      <w:bookmarkStart w:id="901" w:name="_Toc76993417"/>
      <w:bookmarkStart w:id="902" w:name="_Toc76994110"/>
      <w:bookmarkStart w:id="903" w:name="_Toc76994494"/>
      <w:bookmarkStart w:id="904" w:name="_Toc78374990"/>
      <w:bookmarkStart w:id="905" w:name="_Toc78551019"/>
      <w:bookmarkStart w:id="906" w:name="_Toc78556439"/>
      <w:bookmarkStart w:id="907" w:name="_Toc78813493"/>
      <w:bookmarkStart w:id="908" w:name="_Toc79048575"/>
      <w:bookmarkStart w:id="909" w:name="_Toc79923790"/>
      <w:bookmarkStart w:id="910" w:name="_Toc80103530"/>
      <w:bookmarkStart w:id="911" w:name="_Toc80715980"/>
      <w:bookmarkStart w:id="912" w:name="_Toc81406404"/>
      <w:bookmarkStart w:id="913" w:name="_Toc82161475"/>
      <w:bookmarkStart w:id="914" w:name="_Toc89102199"/>
      <w:r>
        <w:rPr>
          <w:rFonts w:hint="eastAsia" w:asciiTheme="majorEastAsia" w:hAnsiTheme="majorEastAsia" w:eastAsiaTheme="majorEastAsia"/>
        </w:rPr>
        <w:t>5</w:t>
      </w:r>
      <w:r>
        <w:rPr>
          <w:rFonts w:asciiTheme="majorEastAsia" w:hAnsiTheme="majorEastAsia" w:eastAsiaTheme="majorEastAsia"/>
        </w:rPr>
        <w:t>.1.8</w:t>
      </w:r>
      <w:r>
        <w:rPr>
          <w:rFonts w:hint="eastAsia" w:asciiTheme="majorEastAsia" w:hAnsiTheme="majorEastAsia" w:eastAsiaTheme="majorEastAsia"/>
        </w:rPr>
        <w:t>加快构建协同高效的现代化治理体系</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pPr>
        <w:pStyle w:val="6"/>
        <w:rPr>
          <w:rFonts w:asciiTheme="majorEastAsia" w:hAnsiTheme="majorEastAsia" w:eastAsiaTheme="majorEastAsia"/>
        </w:rPr>
      </w:pPr>
      <w:r>
        <w:rPr>
          <w:rFonts w:hint="eastAsia" w:asciiTheme="majorEastAsia" w:hAnsiTheme="majorEastAsia" w:eastAsiaTheme="majorEastAsia"/>
        </w:rPr>
        <w:t>（一）深化行业管理体制机制改革</w:t>
      </w:r>
    </w:p>
    <w:p>
      <w:pPr>
        <w:widowControl/>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深化综合交通运输管理体制改革，健全综合交通运输发展协调机制，构建跨方式、跨部门、跨区域的综合交通运输管理体制和协调机制。</w:t>
      </w:r>
      <w:r>
        <w:rPr>
          <w:rFonts w:hint="eastAsia" w:asciiTheme="majorEastAsia" w:hAnsiTheme="majorEastAsia" w:eastAsiaTheme="majorEastAsia"/>
          <w:b/>
          <w:bCs/>
          <w:szCs w:val="28"/>
        </w:rPr>
        <w:t>一是</w:t>
      </w:r>
      <w:r>
        <w:rPr>
          <w:rFonts w:hint="eastAsia" w:asciiTheme="majorEastAsia" w:hAnsiTheme="majorEastAsia" w:eastAsiaTheme="majorEastAsia"/>
          <w:szCs w:val="28"/>
        </w:rPr>
        <w:t>以“四好农村路”建设为抓手，全面落实农村公路“路长制”，通过农村公路管理养护体制改革，督促各区进一步落实农村公路管理养护主体责任，全面加强农村公路管理养护，让易地扶贫搬迁“搬得出、稳得住”，全面提升全市农村公路服务水平。</w:t>
      </w:r>
      <w:r>
        <w:rPr>
          <w:rFonts w:hint="eastAsia" w:asciiTheme="majorEastAsia" w:hAnsiTheme="majorEastAsia" w:eastAsiaTheme="majorEastAsia"/>
          <w:b/>
          <w:bCs/>
          <w:szCs w:val="28"/>
        </w:rPr>
        <w:t>二是</w:t>
      </w:r>
      <w:r>
        <w:rPr>
          <w:rFonts w:hint="eastAsia" w:asciiTheme="majorEastAsia" w:hAnsiTheme="majorEastAsia" w:eastAsiaTheme="majorEastAsia"/>
          <w:szCs w:val="28"/>
        </w:rPr>
        <w:t>扎实推进“放管服”改革，完善政府权责清单，持续推进简政放权。以公路养护等领域为重点，加快推进各级政府交通运输财政事权和支出责任的合理划分。加快建立以信用为基础的新型监管机制,推动交通运输领域“双随机、一公开”监管全覆盖、常态化。推动交通运输政务服务“一网通办”、企业群众办事“只进一扇门”“最多跑一次”。</w:t>
      </w:r>
      <w:r>
        <w:rPr>
          <w:rFonts w:hint="eastAsia" w:asciiTheme="majorEastAsia" w:hAnsiTheme="majorEastAsia" w:eastAsiaTheme="majorEastAsia"/>
          <w:b/>
          <w:bCs/>
          <w:szCs w:val="28"/>
        </w:rPr>
        <w:t>三是</w:t>
      </w:r>
      <w:r>
        <w:rPr>
          <w:rFonts w:hint="eastAsia" w:asciiTheme="majorEastAsia" w:hAnsiTheme="majorEastAsia" w:eastAsiaTheme="majorEastAsia"/>
          <w:szCs w:val="28"/>
        </w:rPr>
        <w:t>加快推动出租汽车行业改革，完善定价机制，出台《出租车服务质量信誉考核暂行办法》，建设六盘水市出租汽车监管平台，将出租车、网约车平台公司、车辆、驾驶员相关数据信息全部接入，提高网约车监管服务精细化水平，推动巡游出租车和网约车融合发展。</w:t>
      </w:r>
      <w:r>
        <w:rPr>
          <w:rFonts w:hint="eastAsia" w:asciiTheme="majorEastAsia" w:hAnsiTheme="majorEastAsia" w:eastAsiaTheme="majorEastAsia"/>
          <w:b/>
          <w:bCs/>
          <w:szCs w:val="28"/>
        </w:rPr>
        <w:t>四是</w:t>
      </w:r>
      <w:r>
        <w:rPr>
          <w:rFonts w:hint="eastAsia" w:asciiTheme="majorEastAsia" w:hAnsiTheme="majorEastAsia" w:eastAsiaTheme="majorEastAsia"/>
          <w:szCs w:val="28"/>
        </w:rPr>
        <w:t>加强应急征用补偿机制建设。根据六盘水市实际需求，建立健全应急征用补偿机制，激励企业积极参与应急救援各项工作。</w:t>
      </w:r>
      <w:r>
        <w:rPr>
          <w:rFonts w:hint="eastAsia" w:asciiTheme="majorEastAsia" w:hAnsiTheme="majorEastAsia" w:eastAsiaTheme="majorEastAsia"/>
          <w:b/>
          <w:bCs/>
          <w:szCs w:val="28"/>
        </w:rPr>
        <w:t>五是</w:t>
      </w:r>
      <w:r>
        <w:rPr>
          <w:rFonts w:hint="eastAsia" w:asciiTheme="majorEastAsia" w:hAnsiTheme="majorEastAsia" w:eastAsiaTheme="majorEastAsia"/>
          <w:szCs w:val="28"/>
        </w:rPr>
        <w:t>完善水路运输监管制度，建立船舶检验长效机制，提高船检质量，抓好“安全水运”，保障水路运输高效通畅运行。</w:t>
      </w:r>
      <w:r>
        <w:rPr>
          <w:rFonts w:hint="eastAsia" w:asciiTheme="majorEastAsia" w:hAnsiTheme="majorEastAsia" w:eastAsiaTheme="majorEastAsia"/>
          <w:b/>
          <w:bCs/>
          <w:szCs w:val="28"/>
        </w:rPr>
        <w:t>六是</w:t>
      </w:r>
      <w:r>
        <w:rPr>
          <w:rFonts w:hint="eastAsia" w:asciiTheme="majorEastAsia" w:hAnsiTheme="majorEastAsia" w:eastAsiaTheme="majorEastAsia"/>
          <w:szCs w:val="28"/>
        </w:rPr>
        <w:t>深化交通投融资体制改革。将交通基础设施建设与产业发展、园区建设、乡村旅游、矿产资源等捆绑实施一体化开发，支持资质、资产优良的交通企业通过并购、重组、上市等多种方式做大做强。</w:t>
      </w:r>
      <w:r>
        <w:rPr>
          <w:rFonts w:hint="eastAsia" w:asciiTheme="majorEastAsia" w:hAnsiTheme="majorEastAsia" w:eastAsiaTheme="majorEastAsia"/>
          <w:b/>
          <w:bCs/>
          <w:szCs w:val="28"/>
        </w:rPr>
        <w:t>七是</w:t>
      </w:r>
      <w:r>
        <w:rPr>
          <w:rFonts w:hint="eastAsia" w:asciiTheme="majorEastAsia" w:hAnsiTheme="majorEastAsia" w:eastAsiaTheme="majorEastAsia"/>
          <w:szCs w:val="28"/>
        </w:rPr>
        <w:t>建立健全行业乱象治理长效机制。深入推进平安凉都创建，常态化开展交通运输扫黑除恶工作，以客运市场秩序整治为重点，加大路政运政执法检查力度，保持打击非法营运高压态势，严肃查处非法营运、出租车（网约车）违规经营、破坏路产路权等违法行为，对项目质量安全实行全过程跟踪管理和全要素实时检测，确保在建项目质量安全检测整改合格率达100%，深入推进“品质工程”建设。强化农民工工资支付保障，抓好根治欠薪专项行动。</w:t>
      </w:r>
    </w:p>
    <w:p>
      <w:pPr>
        <w:pStyle w:val="6"/>
        <w:rPr>
          <w:rFonts w:asciiTheme="majorEastAsia" w:hAnsiTheme="majorEastAsia" w:eastAsiaTheme="majorEastAsia"/>
        </w:rPr>
      </w:pPr>
      <w:r>
        <w:rPr>
          <w:rFonts w:hint="eastAsia" w:asciiTheme="majorEastAsia" w:hAnsiTheme="majorEastAsia" w:eastAsiaTheme="majorEastAsia"/>
        </w:rPr>
        <w:t>（二）完善交通运输法规体系</w:t>
      </w:r>
    </w:p>
    <w:p>
      <w:pPr>
        <w:widowControl/>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根据国家、省和市的立法具体要求，结合交通运输工作实际，配合做好立法制（修）订有关工作，积极对相关法律法规提出修改意见建议，维护交通运输法律法规的统一性、权威性。加快建设适合六盘水市特点的交通运输安全法规制度，并建立动态完善机制。完善安全责任体系，不断健全企业安全生产、行业安全监管、安全生产责任考核、企业安全生产信用及安全责任追究等体系。健全完善安全生产风险管理、安全生产形势分析研判、隐患排查治理、事故暴露问题整改等机制，完善双重预防体系。加强安全生产重大关键技术研究和装备研发，提升行业突出问题治理和重大风险防控能力。进一步完善安全文化体系，加强行业安全生产宣传教育，推进企业安全文化建设。加快新兴业态管理办法研究，完善综合交通法规体系。完善交通运输执法程序，加大对县级交通运输综合行政执法工作的督促、检查、指导力度，确保年度各项执法工作目标顺利完成。推进交通运输行政执法信息化建设，健全交通运输行政执法与刑事司法衔接机制，提升综合执法效率。</w:t>
      </w:r>
    </w:p>
    <w:p>
      <w:pPr>
        <w:pStyle w:val="6"/>
        <w:rPr>
          <w:rFonts w:asciiTheme="majorEastAsia" w:hAnsiTheme="majorEastAsia" w:eastAsiaTheme="majorEastAsia"/>
        </w:rPr>
      </w:pPr>
      <w:r>
        <w:rPr>
          <w:rFonts w:hint="eastAsia" w:asciiTheme="majorEastAsia" w:hAnsiTheme="majorEastAsia" w:eastAsiaTheme="majorEastAsia"/>
        </w:rPr>
        <w:t>（三）建立健全人才培养及使用机制</w:t>
      </w:r>
    </w:p>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实施急需紧缺人才建设工程、交通领导干部能力素质提升工程和交通运输综合执法人才建设工程，打造能适应新时期行业转型发展需要的高素质专业化交通人才队伍。完善交通运输系统专业技术人才和技能型人才职称及技能晋级竞岗等政治素质考察测评机制，对重大人才工程的实施提供资金和项目保障。坚持党管干部的原则，着力建设“忠诚干净担当”新时代交通运输干部队伍，大力选拔讲政治、懂业务、通管理的专业化干部，加大干部队伍梯队培养选拔力度。科学运用容错纠错机制，做到严管厚爱相结合，形成“能者上、庸者汰、劣者下”的干部选育机制，真正让“千里马”在交通运输大道上竞相驰骋。依托工程建设项目，推动监管部门人才队伍建设，加强对监督执法人员的培训教育，建立一支政治过硬、业务精通、道德优良的执法队伍。</w:t>
      </w:r>
    </w:p>
    <w:p>
      <w:pPr>
        <w:pStyle w:val="6"/>
        <w:rPr>
          <w:rFonts w:asciiTheme="majorEastAsia" w:hAnsiTheme="majorEastAsia" w:eastAsiaTheme="majorEastAsia"/>
        </w:rPr>
      </w:pPr>
      <w:r>
        <w:rPr>
          <w:rFonts w:hint="eastAsia" w:asciiTheme="majorEastAsia" w:hAnsiTheme="majorEastAsia" w:eastAsiaTheme="majorEastAsia"/>
        </w:rPr>
        <w:t>（四）构建市场信用评价体系</w:t>
      </w:r>
    </w:p>
    <w:p>
      <w:pPr>
        <w:ind w:firstLine="562" w:firstLineChars="200"/>
        <w:rPr>
          <w:rFonts w:asciiTheme="majorEastAsia" w:hAnsiTheme="majorEastAsia" w:eastAsiaTheme="majorEastAsia"/>
          <w:szCs w:val="28"/>
        </w:rPr>
      </w:pPr>
      <w:r>
        <w:rPr>
          <w:rFonts w:hint="eastAsia" w:asciiTheme="majorEastAsia" w:hAnsiTheme="majorEastAsia" w:eastAsiaTheme="majorEastAsia"/>
          <w:b/>
          <w:bCs/>
          <w:szCs w:val="28"/>
        </w:rPr>
        <w:t>一是</w:t>
      </w:r>
      <w:r>
        <w:rPr>
          <w:rFonts w:hint="eastAsia" w:asciiTheme="majorEastAsia" w:hAnsiTheme="majorEastAsia" w:eastAsiaTheme="majorEastAsia"/>
          <w:szCs w:val="28"/>
        </w:rPr>
        <w:t>深入推进信用交通建设，在加强高速公路、国省道建设项目信用评价工作的同时，建立健全农村公路建设市场信用评价体系。</w:t>
      </w:r>
      <w:r>
        <w:rPr>
          <w:rFonts w:hint="eastAsia" w:asciiTheme="majorEastAsia" w:hAnsiTheme="majorEastAsia" w:eastAsiaTheme="majorEastAsia"/>
          <w:b/>
          <w:bCs/>
          <w:szCs w:val="28"/>
        </w:rPr>
        <w:t>二是</w:t>
      </w:r>
      <w:r>
        <w:rPr>
          <w:rFonts w:hint="eastAsia" w:asciiTheme="majorEastAsia" w:hAnsiTheme="majorEastAsia" w:eastAsiaTheme="majorEastAsia"/>
          <w:szCs w:val="28"/>
        </w:rPr>
        <w:t>构建以信用为基础的新型监管机制，探索优化新业态管理模式，加强信用评价、联合奖惩和诚信宣传。持续推进法治政府部门建设，探索包容性监管体系，创新新业态治理模式和手段。</w:t>
      </w:r>
      <w:r>
        <w:rPr>
          <w:rFonts w:hint="eastAsia" w:asciiTheme="majorEastAsia" w:hAnsiTheme="majorEastAsia" w:eastAsiaTheme="majorEastAsia"/>
          <w:b/>
          <w:bCs/>
          <w:szCs w:val="28"/>
        </w:rPr>
        <w:t>三是</w:t>
      </w:r>
      <w:r>
        <w:rPr>
          <w:rFonts w:hint="eastAsia" w:asciiTheme="majorEastAsia" w:hAnsiTheme="majorEastAsia" w:eastAsiaTheme="majorEastAsia"/>
          <w:szCs w:val="28"/>
        </w:rPr>
        <w:t>完善市场信用体系，加快制定运输企业和从业人员诚信管理制度，建立和完善诚信信息披露和查询系统，以供社会各界查阅。分类建立水路客运、水路货运、船员培训和船舶维修的考核指标，制定诚信评价内容、评价等级、评价标准、评价方法和评价周期等，建立完善不同经营类别的分类考核评价机制。</w:t>
      </w:r>
    </w:p>
    <w:p>
      <w:pPr>
        <w:pStyle w:val="6"/>
        <w:rPr>
          <w:rFonts w:asciiTheme="majorEastAsia" w:hAnsiTheme="majorEastAsia" w:eastAsiaTheme="majorEastAsia"/>
        </w:rPr>
      </w:pPr>
      <w:r>
        <w:rPr>
          <w:rFonts w:hint="eastAsia" w:asciiTheme="majorEastAsia" w:hAnsiTheme="majorEastAsia" w:eastAsiaTheme="majorEastAsia"/>
        </w:rPr>
        <w:t>（五）营造良好市场环境</w:t>
      </w:r>
    </w:p>
    <w:p>
      <w:pPr>
        <w:ind w:firstLine="560" w:firstLineChars="200"/>
        <w:rPr>
          <w:rFonts w:asciiTheme="majorEastAsia" w:hAnsiTheme="majorEastAsia" w:eastAsiaTheme="majorEastAsia"/>
          <w:szCs w:val="28"/>
        </w:rPr>
      </w:pPr>
      <w:r>
        <w:rPr>
          <w:rFonts w:hint="eastAsia" w:asciiTheme="majorEastAsia" w:hAnsiTheme="majorEastAsia" w:eastAsiaTheme="majorEastAsia"/>
          <w:szCs w:val="28"/>
        </w:rPr>
        <w:t>优化交通运输营商环境，完善鼓励支持民营企业发展的政策。增强政府对交通运输行业和市场的监管能力，营造公平竞争的交通运输市场，完善交通运输市场准入和退出机制，建立交通运输监管信息服务平台，建立优良信用环境。建立交通运输市场信息披露制度，增强社会公众和企业参与交通运输发展的认识和理解。</w:t>
      </w:r>
    </w:p>
    <w:p>
      <w:pPr>
        <w:pStyle w:val="3"/>
        <w:rPr>
          <w:rFonts w:asciiTheme="majorEastAsia" w:hAnsiTheme="majorEastAsia" w:eastAsiaTheme="majorEastAsia"/>
        </w:rPr>
      </w:pPr>
      <w:bookmarkStart w:id="915" w:name="_Toc89102200"/>
      <w:bookmarkStart w:id="916" w:name="_Toc51756524"/>
      <w:r>
        <w:rPr>
          <w:rFonts w:asciiTheme="majorEastAsia" w:hAnsiTheme="majorEastAsia" w:eastAsiaTheme="majorEastAsia"/>
        </w:rPr>
        <w:t>5.2 资金需求分析</w:t>
      </w:r>
      <w:bookmarkEnd w:id="915"/>
      <w:bookmarkEnd w:id="916"/>
    </w:p>
    <w:p>
      <w:pPr>
        <w:pStyle w:val="4"/>
        <w:rPr>
          <w:rFonts w:asciiTheme="majorEastAsia" w:hAnsiTheme="majorEastAsia" w:eastAsiaTheme="majorEastAsia"/>
        </w:rPr>
      </w:pPr>
      <w:bookmarkStart w:id="917" w:name="_Toc72513454"/>
      <w:bookmarkStart w:id="918" w:name="_Toc66179143"/>
      <w:bookmarkStart w:id="919" w:name="_Toc56264711"/>
      <w:bookmarkStart w:id="920" w:name="_Toc58318756"/>
      <w:bookmarkStart w:id="921" w:name="_Toc66367345"/>
      <w:bookmarkStart w:id="922" w:name="_Toc66367432"/>
      <w:bookmarkStart w:id="923" w:name="_Toc66367627"/>
      <w:bookmarkStart w:id="924" w:name="_Toc63601017"/>
      <w:bookmarkStart w:id="925" w:name="_Toc66367258"/>
      <w:bookmarkStart w:id="926" w:name="_Toc72778002"/>
      <w:bookmarkStart w:id="927" w:name="_Toc73625978"/>
      <w:bookmarkStart w:id="928" w:name="_Toc75518151"/>
      <w:bookmarkStart w:id="929" w:name="_Toc76490242"/>
      <w:bookmarkStart w:id="930" w:name="_Toc76993419"/>
      <w:bookmarkStart w:id="931" w:name="_Toc76994112"/>
      <w:bookmarkStart w:id="932" w:name="_Toc76994496"/>
      <w:bookmarkStart w:id="933" w:name="_Toc78374992"/>
      <w:bookmarkStart w:id="934" w:name="_Toc78551021"/>
      <w:bookmarkStart w:id="935" w:name="_Toc78556441"/>
      <w:bookmarkStart w:id="936" w:name="_Toc78813495"/>
      <w:bookmarkStart w:id="937" w:name="_Toc79048577"/>
      <w:bookmarkStart w:id="938" w:name="_Toc79923792"/>
      <w:bookmarkStart w:id="939" w:name="_Toc80103532"/>
      <w:bookmarkStart w:id="940" w:name="_Toc80715982"/>
      <w:bookmarkStart w:id="941" w:name="_Toc81406406"/>
      <w:bookmarkStart w:id="942" w:name="_Toc82161477"/>
      <w:bookmarkStart w:id="943" w:name="_Toc89102201"/>
      <w:r>
        <w:rPr>
          <w:rFonts w:asciiTheme="majorEastAsia" w:hAnsiTheme="majorEastAsia" w:eastAsiaTheme="majorEastAsia"/>
        </w:rPr>
        <w:t>5.2.1资金需求测算</w:t>
      </w:r>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pPr>
        <w:ind w:firstLine="560" w:firstLineChars="200"/>
        <w:rPr>
          <w:rFonts w:asciiTheme="majorEastAsia" w:hAnsiTheme="majorEastAsia" w:eastAsiaTheme="majorEastAsia"/>
        </w:rPr>
      </w:pPr>
      <w:r>
        <w:rPr>
          <w:rFonts w:hint="eastAsia" w:asciiTheme="majorEastAsia" w:hAnsiTheme="majorEastAsia" w:eastAsiaTheme="majorEastAsia"/>
        </w:rPr>
        <w:t>结合目标任务初步匡算，六盘水市交通建设总投资</w:t>
      </w:r>
      <w:r>
        <w:rPr>
          <w:rFonts w:asciiTheme="majorEastAsia" w:hAnsiTheme="majorEastAsia" w:eastAsiaTheme="majorEastAsia"/>
          <w:b/>
          <w:bCs/>
        </w:rPr>
        <w:t>1205.25</w:t>
      </w:r>
      <w:r>
        <w:rPr>
          <w:rFonts w:hint="eastAsia" w:asciiTheme="majorEastAsia" w:hAnsiTheme="majorEastAsia" w:eastAsiaTheme="majorEastAsia"/>
        </w:rPr>
        <w:t>亿元，“十四五”期完成投资</w:t>
      </w:r>
      <w:r>
        <w:rPr>
          <w:rFonts w:asciiTheme="majorEastAsia" w:hAnsiTheme="majorEastAsia" w:eastAsiaTheme="majorEastAsia"/>
          <w:b/>
        </w:rPr>
        <w:t>496.75</w:t>
      </w:r>
      <w:r>
        <w:rPr>
          <w:rFonts w:asciiTheme="majorEastAsia" w:hAnsiTheme="majorEastAsia" w:eastAsiaTheme="majorEastAsia"/>
        </w:rPr>
        <w:t>亿元</w:t>
      </w:r>
      <w:r>
        <w:rPr>
          <w:rFonts w:hint="eastAsia" w:asciiTheme="majorEastAsia" w:hAnsiTheme="majorEastAsia" w:eastAsiaTheme="majorEastAsia"/>
        </w:rPr>
        <w:t>。</w:t>
      </w:r>
    </w:p>
    <w:p>
      <w:pPr>
        <w:jc w:val="center"/>
        <w:rPr>
          <w:rFonts w:asciiTheme="majorEastAsia" w:hAnsiTheme="majorEastAsia" w:eastAsiaTheme="majorEastAsia"/>
          <w:b/>
          <w:bCs/>
          <w:sz w:val="24"/>
        </w:rPr>
      </w:pPr>
      <w:r>
        <w:rPr>
          <w:rFonts w:asciiTheme="majorEastAsia" w:hAnsiTheme="majorEastAsia" w:eastAsiaTheme="majorEastAsia"/>
          <w:b/>
          <w:bCs/>
          <w:sz w:val="24"/>
        </w:rPr>
        <w:t>表5</w:t>
      </w:r>
      <w:r>
        <w:rPr>
          <w:rFonts w:hint="eastAsia" w:asciiTheme="majorEastAsia" w:hAnsiTheme="majorEastAsia" w:eastAsiaTheme="majorEastAsia"/>
          <w:b/>
          <w:bCs/>
          <w:sz w:val="24"/>
        </w:rPr>
        <w:t>-</w:t>
      </w:r>
      <w:r>
        <w:rPr>
          <w:rFonts w:asciiTheme="majorEastAsia" w:hAnsiTheme="majorEastAsia" w:eastAsiaTheme="majorEastAsia"/>
          <w:b/>
          <w:bCs/>
          <w:sz w:val="24"/>
        </w:rPr>
        <w:t xml:space="preserve">1 </w:t>
      </w:r>
      <w:r>
        <w:rPr>
          <w:rFonts w:hint="eastAsia" w:asciiTheme="majorEastAsia" w:hAnsiTheme="majorEastAsia" w:eastAsiaTheme="majorEastAsia"/>
          <w:b/>
          <w:bCs/>
          <w:sz w:val="24"/>
        </w:rPr>
        <w:t>六盘水市“十四五”交通运输规划资金需求测算表</w:t>
      </w:r>
    </w:p>
    <w:tbl>
      <w:tblPr>
        <w:tblStyle w:val="19"/>
        <w:tblW w:w="8296" w:type="dxa"/>
        <w:tblInd w:w="0" w:type="dxa"/>
        <w:tblLayout w:type="autofit"/>
        <w:tblCellMar>
          <w:top w:w="0" w:type="dxa"/>
          <w:left w:w="108" w:type="dxa"/>
          <w:bottom w:w="0" w:type="dxa"/>
          <w:right w:w="108" w:type="dxa"/>
        </w:tblCellMar>
      </w:tblPr>
      <w:tblGrid>
        <w:gridCol w:w="2689"/>
        <w:gridCol w:w="1842"/>
        <w:gridCol w:w="2006"/>
        <w:gridCol w:w="1759"/>
      </w:tblGrid>
      <w:tr>
        <w:tblPrEx>
          <w:tblCellMar>
            <w:top w:w="0" w:type="dxa"/>
            <w:left w:w="108" w:type="dxa"/>
            <w:bottom w:w="0" w:type="dxa"/>
            <w:right w:w="108" w:type="dxa"/>
          </w:tblCellMar>
        </w:tblPrEx>
        <w:trPr>
          <w:trHeight w:val="315" w:hRule="atLeast"/>
        </w:trPr>
        <w:tc>
          <w:tcPr>
            <w:tcW w:w="268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cs="宋体" w:asciiTheme="minorEastAsia" w:hAnsiTheme="minorEastAsia" w:eastAsiaTheme="minorEastAsia"/>
                <w:b/>
                <w:bCs/>
                <w:color w:val="000000"/>
                <w:kern w:val="0"/>
                <w:sz w:val="24"/>
              </w:rPr>
            </w:pPr>
            <w:r>
              <w:rPr>
                <w:rFonts w:hint="eastAsia" w:cs="宋体" w:asciiTheme="minorEastAsia" w:hAnsiTheme="minorEastAsia" w:eastAsiaTheme="minorEastAsia"/>
                <w:b/>
                <w:bCs/>
                <w:color w:val="000000"/>
                <w:kern w:val="0"/>
                <w:sz w:val="24"/>
              </w:rPr>
              <w:t>项目</w:t>
            </w:r>
          </w:p>
        </w:tc>
        <w:tc>
          <w:tcPr>
            <w:tcW w:w="1842"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宋体" w:asciiTheme="minorEastAsia" w:hAnsiTheme="minorEastAsia" w:eastAsiaTheme="minorEastAsia"/>
                <w:b/>
                <w:bCs/>
                <w:color w:val="000000"/>
                <w:kern w:val="0"/>
                <w:sz w:val="24"/>
              </w:rPr>
            </w:pPr>
            <w:r>
              <w:rPr>
                <w:rFonts w:hint="eastAsia" w:cs="宋体" w:asciiTheme="minorEastAsia" w:hAnsiTheme="minorEastAsia" w:eastAsiaTheme="minorEastAsia"/>
                <w:b/>
                <w:bCs/>
                <w:color w:val="000000"/>
                <w:kern w:val="0"/>
                <w:sz w:val="24"/>
              </w:rPr>
              <w:t>总投资（亿元</w:t>
            </w:r>
            <w:r>
              <w:rPr>
                <w:rFonts w:asciiTheme="minorEastAsia" w:hAnsiTheme="minorEastAsia" w:eastAsiaTheme="minorEastAsia"/>
                <w:b/>
                <w:bCs/>
                <w:color w:val="000000"/>
                <w:kern w:val="0"/>
                <w:sz w:val="24"/>
              </w:rPr>
              <w:t>)</w:t>
            </w:r>
          </w:p>
        </w:tc>
        <w:tc>
          <w:tcPr>
            <w:tcW w:w="2006" w:type="dxa"/>
            <w:tcBorders>
              <w:top w:val="single" w:color="auto" w:sz="4" w:space="0"/>
              <w:left w:val="nil"/>
              <w:bottom w:val="single" w:color="auto" w:sz="4" w:space="0"/>
              <w:right w:val="single" w:color="auto" w:sz="4" w:space="0"/>
            </w:tcBorders>
            <w:vAlign w:val="center"/>
          </w:tcPr>
          <w:p>
            <w:pPr>
              <w:widowControl/>
              <w:spacing w:line="240" w:lineRule="auto"/>
              <w:jc w:val="center"/>
              <w:rPr>
                <w:rFonts w:cs="宋体" w:asciiTheme="minorEastAsia" w:hAnsiTheme="minorEastAsia" w:eastAsiaTheme="minorEastAsia"/>
                <w:b/>
                <w:bCs/>
                <w:color w:val="000000"/>
                <w:kern w:val="0"/>
                <w:sz w:val="24"/>
              </w:rPr>
            </w:pPr>
            <w:r>
              <w:rPr>
                <w:rFonts w:hint="eastAsia" w:cs="宋体" w:asciiTheme="minorEastAsia" w:hAnsiTheme="minorEastAsia" w:eastAsiaTheme="minorEastAsia"/>
                <w:b/>
                <w:bCs/>
                <w:color w:val="000000"/>
                <w:kern w:val="0"/>
                <w:sz w:val="24"/>
              </w:rPr>
              <w:t>“十四五”计划投资（亿元）</w:t>
            </w:r>
          </w:p>
        </w:tc>
        <w:tc>
          <w:tcPr>
            <w:tcW w:w="1759" w:type="dxa"/>
            <w:tcBorders>
              <w:top w:val="single" w:color="auto" w:sz="4" w:space="0"/>
              <w:left w:val="nil"/>
              <w:bottom w:val="single" w:color="auto" w:sz="4" w:space="0"/>
              <w:right w:val="single" w:color="auto" w:sz="4" w:space="0"/>
            </w:tcBorders>
          </w:tcPr>
          <w:p>
            <w:pPr>
              <w:widowControl/>
              <w:spacing w:line="240" w:lineRule="auto"/>
              <w:jc w:val="center"/>
              <w:rPr>
                <w:rFonts w:cs="宋体" w:asciiTheme="minorEastAsia" w:hAnsiTheme="minorEastAsia" w:eastAsiaTheme="minorEastAsia"/>
                <w:b/>
                <w:bCs/>
                <w:color w:val="000000"/>
                <w:kern w:val="0"/>
                <w:sz w:val="24"/>
              </w:rPr>
            </w:pPr>
            <w:r>
              <w:rPr>
                <w:rFonts w:hint="eastAsia" w:cs="宋体" w:asciiTheme="minorEastAsia" w:hAnsiTheme="minorEastAsia" w:eastAsiaTheme="minorEastAsia"/>
                <w:b/>
                <w:bCs/>
                <w:color w:val="000000"/>
                <w:kern w:val="0"/>
                <w:sz w:val="24"/>
              </w:rPr>
              <w:t>占“十四五”投资比</w:t>
            </w:r>
          </w:p>
        </w:tc>
      </w:tr>
      <w:tr>
        <w:tblPrEx>
          <w:tblCellMar>
            <w:top w:w="0" w:type="dxa"/>
            <w:left w:w="108" w:type="dxa"/>
            <w:bottom w:w="0" w:type="dxa"/>
            <w:right w:w="108" w:type="dxa"/>
          </w:tblCellMar>
        </w:tblPrEx>
        <w:trPr>
          <w:trHeight w:val="315"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高速公路</w:t>
            </w:r>
          </w:p>
        </w:tc>
        <w:tc>
          <w:tcPr>
            <w:tcW w:w="1842"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w:hAnsi="Times" w:eastAsiaTheme="minorEastAsia"/>
                <w:color w:val="000000" w:themeColor="text1"/>
                <w:kern w:val="0"/>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787.90</w:t>
            </w:r>
          </w:p>
        </w:tc>
        <w:tc>
          <w:tcPr>
            <w:tcW w:w="2006" w:type="dxa"/>
            <w:tcBorders>
              <w:top w:val="nil"/>
              <w:left w:val="nil"/>
              <w:bottom w:val="single" w:color="auto" w:sz="4" w:space="0"/>
              <w:right w:val="single" w:color="auto" w:sz="4" w:space="0"/>
            </w:tcBorders>
            <w:vAlign w:val="center"/>
          </w:tcPr>
          <w:p>
            <w:pPr>
              <w:widowControl/>
              <w:spacing w:line="240" w:lineRule="auto"/>
              <w:jc w:val="center"/>
              <w:rPr>
                <w:rFonts w:ascii="Times" w:hAnsi="Times" w:eastAsiaTheme="minorEastAsia"/>
                <w:color w:val="000000" w:themeColor="text1"/>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381.40</w:t>
            </w:r>
          </w:p>
        </w:tc>
        <w:tc>
          <w:tcPr>
            <w:tcW w:w="1759" w:type="dxa"/>
            <w:tcBorders>
              <w:top w:val="nil"/>
              <w:left w:val="nil"/>
              <w:bottom w:val="single" w:color="auto" w:sz="4" w:space="0"/>
              <w:right w:val="single" w:color="auto" w:sz="4" w:space="0"/>
            </w:tcBorders>
          </w:tcPr>
          <w:p>
            <w:pPr>
              <w:widowControl/>
              <w:spacing w:line="240" w:lineRule="auto"/>
              <w:jc w:val="center"/>
              <w:rPr>
                <w:rFonts w:ascii="Times" w:hAnsi="Times" w:eastAsiaTheme="minorEastAsia"/>
                <w:color w:val="000000" w:themeColor="text1"/>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76.78%</w:t>
            </w:r>
          </w:p>
        </w:tc>
      </w:tr>
      <w:tr>
        <w:tblPrEx>
          <w:tblCellMar>
            <w:top w:w="0" w:type="dxa"/>
            <w:left w:w="108" w:type="dxa"/>
            <w:bottom w:w="0" w:type="dxa"/>
            <w:right w:w="108" w:type="dxa"/>
          </w:tblCellMar>
        </w:tblPrEx>
        <w:trPr>
          <w:trHeight w:val="315"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普通国道</w:t>
            </w:r>
          </w:p>
        </w:tc>
        <w:tc>
          <w:tcPr>
            <w:tcW w:w="1842"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w:hAnsi="Times" w:eastAsiaTheme="minorEastAsia"/>
                <w:color w:val="000000" w:themeColor="text1"/>
                <w:kern w:val="0"/>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195.70</w:t>
            </w:r>
          </w:p>
        </w:tc>
        <w:tc>
          <w:tcPr>
            <w:tcW w:w="2006" w:type="dxa"/>
            <w:tcBorders>
              <w:top w:val="nil"/>
              <w:left w:val="nil"/>
              <w:bottom w:val="single" w:color="auto" w:sz="4" w:space="0"/>
              <w:right w:val="single" w:color="auto" w:sz="4" w:space="0"/>
            </w:tcBorders>
            <w:vAlign w:val="center"/>
          </w:tcPr>
          <w:p>
            <w:pPr>
              <w:widowControl/>
              <w:spacing w:line="240" w:lineRule="auto"/>
              <w:jc w:val="center"/>
              <w:rPr>
                <w:rFonts w:ascii="Times" w:hAnsi="Times" w:eastAsiaTheme="minorEastAsia"/>
                <w:color w:val="000000" w:themeColor="text1"/>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41.10</w:t>
            </w:r>
          </w:p>
        </w:tc>
        <w:tc>
          <w:tcPr>
            <w:tcW w:w="1759" w:type="dxa"/>
            <w:tcBorders>
              <w:top w:val="nil"/>
              <w:left w:val="nil"/>
              <w:bottom w:val="single" w:color="auto" w:sz="4" w:space="0"/>
              <w:right w:val="single" w:color="auto" w:sz="4" w:space="0"/>
            </w:tcBorders>
          </w:tcPr>
          <w:p>
            <w:pPr>
              <w:widowControl/>
              <w:spacing w:line="240" w:lineRule="auto"/>
              <w:jc w:val="center"/>
              <w:rPr>
                <w:rFonts w:ascii="Times" w:hAnsi="Times" w:eastAsiaTheme="minorEastAsia"/>
                <w:color w:val="000000" w:themeColor="text1"/>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8.27%</w:t>
            </w:r>
          </w:p>
        </w:tc>
      </w:tr>
      <w:tr>
        <w:tblPrEx>
          <w:tblCellMar>
            <w:top w:w="0" w:type="dxa"/>
            <w:left w:w="108" w:type="dxa"/>
            <w:bottom w:w="0" w:type="dxa"/>
            <w:right w:w="108" w:type="dxa"/>
          </w:tblCellMar>
        </w:tblPrEx>
        <w:trPr>
          <w:trHeight w:val="315"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普通省道</w:t>
            </w:r>
          </w:p>
        </w:tc>
        <w:tc>
          <w:tcPr>
            <w:tcW w:w="1842"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w:hAnsi="Times" w:eastAsiaTheme="minorEastAsia"/>
                <w:color w:val="000000" w:themeColor="text1"/>
                <w:kern w:val="0"/>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56.18</w:t>
            </w:r>
          </w:p>
        </w:tc>
        <w:tc>
          <w:tcPr>
            <w:tcW w:w="2006" w:type="dxa"/>
            <w:tcBorders>
              <w:top w:val="nil"/>
              <w:left w:val="nil"/>
              <w:bottom w:val="single" w:color="auto" w:sz="4" w:space="0"/>
              <w:right w:val="single" w:color="auto" w:sz="4" w:space="0"/>
            </w:tcBorders>
            <w:vAlign w:val="center"/>
          </w:tcPr>
          <w:p>
            <w:pPr>
              <w:widowControl/>
              <w:spacing w:line="240" w:lineRule="auto"/>
              <w:jc w:val="center"/>
              <w:rPr>
                <w:rFonts w:ascii="Times" w:hAnsi="Times" w:eastAsiaTheme="minorEastAsia"/>
                <w:color w:val="000000" w:themeColor="text1"/>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3.50</w:t>
            </w:r>
          </w:p>
        </w:tc>
        <w:tc>
          <w:tcPr>
            <w:tcW w:w="1759" w:type="dxa"/>
            <w:tcBorders>
              <w:top w:val="nil"/>
              <w:left w:val="nil"/>
              <w:bottom w:val="single" w:color="auto" w:sz="4" w:space="0"/>
              <w:right w:val="single" w:color="auto" w:sz="4" w:space="0"/>
            </w:tcBorders>
          </w:tcPr>
          <w:p>
            <w:pPr>
              <w:widowControl/>
              <w:spacing w:line="240" w:lineRule="auto"/>
              <w:jc w:val="center"/>
              <w:rPr>
                <w:rFonts w:ascii="Times" w:hAnsi="Times" w:eastAsiaTheme="minorEastAsia"/>
                <w:color w:val="000000" w:themeColor="text1"/>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0.70%</w:t>
            </w:r>
          </w:p>
        </w:tc>
      </w:tr>
      <w:tr>
        <w:tblPrEx>
          <w:tblCellMar>
            <w:top w:w="0" w:type="dxa"/>
            <w:left w:w="108" w:type="dxa"/>
            <w:bottom w:w="0" w:type="dxa"/>
            <w:right w:w="108" w:type="dxa"/>
          </w:tblCellMar>
        </w:tblPrEx>
        <w:trPr>
          <w:trHeight w:val="315"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其他公路</w:t>
            </w:r>
          </w:p>
        </w:tc>
        <w:tc>
          <w:tcPr>
            <w:tcW w:w="1842"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w:hAnsi="Times" w:eastAsiaTheme="minorEastAsia"/>
                <w:color w:val="000000" w:themeColor="text1"/>
                <w:kern w:val="0"/>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13.10</w:t>
            </w:r>
          </w:p>
        </w:tc>
        <w:tc>
          <w:tcPr>
            <w:tcW w:w="2006"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w:hAnsi="Times" w:eastAsiaTheme="minorEastAsia"/>
                <w:color w:val="000000" w:themeColor="text1"/>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8.80</w:t>
            </w:r>
          </w:p>
        </w:tc>
        <w:tc>
          <w:tcPr>
            <w:tcW w:w="1759" w:type="dxa"/>
            <w:tcBorders>
              <w:top w:val="nil"/>
              <w:left w:val="nil"/>
              <w:bottom w:val="single" w:color="auto" w:sz="4" w:space="0"/>
              <w:right w:val="single" w:color="auto" w:sz="4" w:space="0"/>
            </w:tcBorders>
            <w:shd w:val="clear" w:color="auto" w:fill="auto"/>
          </w:tcPr>
          <w:p>
            <w:pPr>
              <w:widowControl/>
              <w:spacing w:line="240" w:lineRule="auto"/>
              <w:jc w:val="center"/>
              <w:rPr>
                <w:rFonts w:ascii="Times" w:hAnsi="Times" w:eastAsiaTheme="minorEastAsia"/>
                <w:color w:val="000000" w:themeColor="text1"/>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1.77%</w:t>
            </w:r>
          </w:p>
        </w:tc>
      </w:tr>
      <w:tr>
        <w:tblPrEx>
          <w:tblCellMar>
            <w:top w:w="0" w:type="dxa"/>
            <w:left w:w="108" w:type="dxa"/>
            <w:bottom w:w="0" w:type="dxa"/>
            <w:right w:w="108" w:type="dxa"/>
          </w:tblCellMar>
        </w:tblPrEx>
        <w:trPr>
          <w:trHeight w:val="315"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安防工程</w:t>
            </w:r>
          </w:p>
        </w:tc>
        <w:tc>
          <w:tcPr>
            <w:tcW w:w="1842"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w:hAnsi="Times" w:eastAsiaTheme="minorEastAsia"/>
                <w:color w:val="000000" w:themeColor="text1"/>
                <w:kern w:val="0"/>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5.00</w:t>
            </w:r>
          </w:p>
        </w:tc>
        <w:tc>
          <w:tcPr>
            <w:tcW w:w="2006" w:type="dxa"/>
            <w:tcBorders>
              <w:top w:val="nil"/>
              <w:left w:val="nil"/>
              <w:bottom w:val="single" w:color="auto" w:sz="4" w:space="0"/>
              <w:right w:val="single" w:color="auto" w:sz="4" w:space="0"/>
            </w:tcBorders>
            <w:vAlign w:val="center"/>
          </w:tcPr>
          <w:p>
            <w:pPr>
              <w:widowControl/>
              <w:spacing w:line="240" w:lineRule="auto"/>
              <w:jc w:val="center"/>
              <w:rPr>
                <w:rFonts w:ascii="Times" w:hAnsi="Times" w:eastAsiaTheme="minorEastAsia"/>
                <w:color w:val="000000" w:themeColor="text1"/>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5.00</w:t>
            </w:r>
          </w:p>
        </w:tc>
        <w:tc>
          <w:tcPr>
            <w:tcW w:w="1759" w:type="dxa"/>
            <w:tcBorders>
              <w:top w:val="nil"/>
              <w:left w:val="nil"/>
              <w:bottom w:val="single" w:color="auto" w:sz="4" w:space="0"/>
              <w:right w:val="single" w:color="auto" w:sz="4" w:space="0"/>
            </w:tcBorders>
          </w:tcPr>
          <w:p>
            <w:pPr>
              <w:widowControl/>
              <w:spacing w:line="240" w:lineRule="auto"/>
              <w:jc w:val="center"/>
              <w:rPr>
                <w:rFonts w:ascii="Times" w:hAnsi="Times" w:eastAsiaTheme="minorEastAsia"/>
                <w:color w:val="000000" w:themeColor="text1"/>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1.01%</w:t>
            </w:r>
          </w:p>
        </w:tc>
      </w:tr>
      <w:tr>
        <w:tblPrEx>
          <w:tblCellMar>
            <w:top w:w="0" w:type="dxa"/>
            <w:left w:w="108" w:type="dxa"/>
            <w:bottom w:w="0" w:type="dxa"/>
            <w:right w:w="108" w:type="dxa"/>
          </w:tblCellMar>
        </w:tblPrEx>
        <w:trPr>
          <w:trHeight w:val="315" w:hRule="atLeast"/>
        </w:trPr>
        <w:tc>
          <w:tcPr>
            <w:tcW w:w="2689" w:type="dxa"/>
            <w:tcBorders>
              <w:top w:val="nil"/>
              <w:left w:val="single" w:color="auto" w:sz="4" w:space="0"/>
              <w:bottom w:val="single" w:color="auto" w:sz="4" w:space="0"/>
              <w:right w:val="single" w:color="auto" w:sz="4" w:space="0"/>
            </w:tcBorders>
            <w:shd w:val="clear" w:color="000000" w:fill="FFFFFF"/>
            <w:noWrap/>
            <w:vAlign w:val="center"/>
          </w:tcPr>
          <w:p>
            <w:pPr>
              <w:widowControl/>
              <w:spacing w:line="240" w:lineRule="auto"/>
              <w:jc w:val="center"/>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建制村通双车道</w:t>
            </w:r>
          </w:p>
        </w:tc>
        <w:tc>
          <w:tcPr>
            <w:tcW w:w="1842"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w:hAnsi="Times" w:eastAsiaTheme="minorEastAsia"/>
                <w:color w:val="000000" w:themeColor="text1"/>
                <w:kern w:val="0"/>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14.52</w:t>
            </w:r>
          </w:p>
        </w:tc>
        <w:tc>
          <w:tcPr>
            <w:tcW w:w="2006" w:type="dxa"/>
            <w:tcBorders>
              <w:top w:val="nil"/>
              <w:left w:val="nil"/>
              <w:bottom w:val="single" w:color="auto" w:sz="4" w:space="0"/>
              <w:right w:val="single" w:color="auto" w:sz="4" w:space="0"/>
            </w:tcBorders>
            <w:vAlign w:val="center"/>
          </w:tcPr>
          <w:p>
            <w:pPr>
              <w:widowControl/>
              <w:spacing w:line="240" w:lineRule="auto"/>
              <w:jc w:val="center"/>
              <w:rPr>
                <w:rFonts w:ascii="Times" w:hAnsi="Times" w:eastAsiaTheme="minorEastAsia"/>
                <w:color w:val="000000" w:themeColor="text1"/>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0.00</w:t>
            </w:r>
          </w:p>
        </w:tc>
        <w:tc>
          <w:tcPr>
            <w:tcW w:w="1759" w:type="dxa"/>
            <w:tcBorders>
              <w:top w:val="nil"/>
              <w:left w:val="nil"/>
              <w:bottom w:val="single" w:color="auto" w:sz="4" w:space="0"/>
              <w:right w:val="single" w:color="auto" w:sz="4" w:space="0"/>
            </w:tcBorders>
          </w:tcPr>
          <w:p>
            <w:pPr>
              <w:widowControl/>
              <w:spacing w:line="240" w:lineRule="auto"/>
              <w:jc w:val="center"/>
              <w:rPr>
                <w:rFonts w:ascii="Times" w:hAnsi="Times" w:eastAsiaTheme="minorEastAsia"/>
                <w:color w:val="000000" w:themeColor="text1"/>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0.00%</w:t>
            </w:r>
          </w:p>
        </w:tc>
      </w:tr>
      <w:tr>
        <w:tblPrEx>
          <w:tblCellMar>
            <w:top w:w="0" w:type="dxa"/>
            <w:left w:w="108" w:type="dxa"/>
            <w:bottom w:w="0" w:type="dxa"/>
            <w:right w:w="108" w:type="dxa"/>
          </w:tblCellMar>
        </w:tblPrEx>
        <w:trPr>
          <w:trHeight w:val="315"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乡镇通二级以上公路</w:t>
            </w:r>
          </w:p>
        </w:tc>
        <w:tc>
          <w:tcPr>
            <w:tcW w:w="1842"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w:hAnsi="Times" w:eastAsiaTheme="minorEastAsia"/>
                <w:color w:val="000000" w:themeColor="text1"/>
                <w:kern w:val="0"/>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54.38</w:t>
            </w:r>
          </w:p>
        </w:tc>
        <w:tc>
          <w:tcPr>
            <w:tcW w:w="2006" w:type="dxa"/>
            <w:tcBorders>
              <w:top w:val="nil"/>
              <w:left w:val="nil"/>
              <w:bottom w:val="single" w:color="auto" w:sz="4" w:space="0"/>
              <w:right w:val="single" w:color="auto" w:sz="4" w:space="0"/>
            </w:tcBorders>
            <w:vAlign w:val="center"/>
          </w:tcPr>
          <w:p>
            <w:pPr>
              <w:widowControl/>
              <w:spacing w:line="240" w:lineRule="auto"/>
              <w:jc w:val="center"/>
              <w:rPr>
                <w:rFonts w:ascii="Times" w:hAnsi="Times" w:eastAsiaTheme="minorEastAsia"/>
                <w:color w:val="000000" w:themeColor="text1"/>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41.60</w:t>
            </w:r>
          </w:p>
        </w:tc>
        <w:tc>
          <w:tcPr>
            <w:tcW w:w="1759" w:type="dxa"/>
            <w:tcBorders>
              <w:top w:val="nil"/>
              <w:left w:val="nil"/>
              <w:bottom w:val="single" w:color="auto" w:sz="4" w:space="0"/>
              <w:right w:val="single" w:color="auto" w:sz="4" w:space="0"/>
            </w:tcBorders>
          </w:tcPr>
          <w:p>
            <w:pPr>
              <w:widowControl/>
              <w:spacing w:line="240" w:lineRule="auto"/>
              <w:jc w:val="center"/>
              <w:rPr>
                <w:rFonts w:ascii="Times" w:hAnsi="Times" w:eastAsiaTheme="minorEastAsia"/>
                <w:color w:val="000000" w:themeColor="text1"/>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8.37%</w:t>
            </w:r>
          </w:p>
        </w:tc>
      </w:tr>
      <w:tr>
        <w:tblPrEx>
          <w:tblCellMar>
            <w:top w:w="0" w:type="dxa"/>
            <w:left w:w="108" w:type="dxa"/>
            <w:bottom w:w="0" w:type="dxa"/>
            <w:right w:w="108" w:type="dxa"/>
          </w:tblCellMar>
        </w:tblPrEx>
        <w:trPr>
          <w:trHeight w:val="315"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旅游路</w:t>
            </w:r>
          </w:p>
        </w:tc>
        <w:tc>
          <w:tcPr>
            <w:tcW w:w="1842"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w:hAnsi="Times" w:cs="宋体" w:eastAsiaTheme="minorEastAsia"/>
                <w:color w:val="000000" w:themeColor="text1"/>
                <w:kern w:val="0"/>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42.96</w:t>
            </w:r>
          </w:p>
        </w:tc>
        <w:tc>
          <w:tcPr>
            <w:tcW w:w="2006" w:type="dxa"/>
            <w:tcBorders>
              <w:top w:val="nil"/>
              <w:left w:val="nil"/>
              <w:bottom w:val="single" w:color="auto" w:sz="4" w:space="0"/>
              <w:right w:val="single" w:color="auto" w:sz="4" w:space="0"/>
            </w:tcBorders>
            <w:vAlign w:val="center"/>
          </w:tcPr>
          <w:p>
            <w:pPr>
              <w:widowControl/>
              <w:spacing w:line="240" w:lineRule="auto"/>
              <w:jc w:val="center"/>
              <w:rPr>
                <w:rFonts w:ascii="Times" w:hAnsi="Times" w:eastAsiaTheme="minorEastAsia"/>
                <w:color w:val="000000" w:themeColor="text1"/>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3.80</w:t>
            </w:r>
          </w:p>
        </w:tc>
        <w:tc>
          <w:tcPr>
            <w:tcW w:w="1759" w:type="dxa"/>
            <w:tcBorders>
              <w:top w:val="nil"/>
              <w:left w:val="nil"/>
              <w:bottom w:val="single" w:color="auto" w:sz="4" w:space="0"/>
              <w:right w:val="single" w:color="auto" w:sz="4" w:space="0"/>
            </w:tcBorders>
          </w:tcPr>
          <w:p>
            <w:pPr>
              <w:widowControl/>
              <w:spacing w:line="240" w:lineRule="auto"/>
              <w:jc w:val="center"/>
              <w:rPr>
                <w:rFonts w:ascii="Times" w:hAnsi="Times" w:eastAsiaTheme="minorEastAsia"/>
                <w:color w:val="000000" w:themeColor="text1"/>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0.76%</w:t>
            </w:r>
          </w:p>
        </w:tc>
      </w:tr>
      <w:tr>
        <w:tblPrEx>
          <w:tblCellMar>
            <w:top w:w="0" w:type="dxa"/>
            <w:left w:w="108" w:type="dxa"/>
            <w:bottom w:w="0" w:type="dxa"/>
            <w:right w:w="108" w:type="dxa"/>
          </w:tblCellMar>
        </w:tblPrEx>
        <w:trPr>
          <w:trHeight w:val="315"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内河水运</w:t>
            </w:r>
          </w:p>
        </w:tc>
        <w:tc>
          <w:tcPr>
            <w:tcW w:w="1842"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w:hAnsi="Times" w:cs="宋体" w:eastAsiaTheme="minorEastAsia"/>
                <w:color w:val="000000" w:themeColor="text1"/>
                <w:kern w:val="0"/>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1.14</w:t>
            </w:r>
          </w:p>
        </w:tc>
        <w:tc>
          <w:tcPr>
            <w:tcW w:w="2006" w:type="dxa"/>
            <w:tcBorders>
              <w:top w:val="nil"/>
              <w:left w:val="nil"/>
              <w:bottom w:val="single" w:color="auto" w:sz="4" w:space="0"/>
              <w:right w:val="single" w:color="auto" w:sz="4" w:space="0"/>
            </w:tcBorders>
            <w:vAlign w:val="center"/>
          </w:tcPr>
          <w:p>
            <w:pPr>
              <w:widowControl/>
              <w:spacing w:line="240" w:lineRule="auto"/>
              <w:jc w:val="center"/>
              <w:rPr>
                <w:rFonts w:ascii="Times" w:hAnsi="Times" w:eastAsiaTheme="minorEastAsia"/>
                <w:color w:val="000000" w:themeColor="text1"/>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0.50</w:t>
            </w:r>
          </w:p>
        </w:tc>
        <w:tc>
          <w:tcPr>
            <w:tcW w:w="1759" w:type="dxa"/>
            <w:tcBorders>
              <w:top w:val="nil"/>
              <w:left w:val="nil"/>
              <w:bottom w:val="single" w:color="auto" w:sz="4" w:space="0"/>
              <w:right w:val="single" w:color="auto" w:sz="4" w:space="0"/>
            </w:tcBorders>
          </w:tcPr>
          <w:p>
            <w:pPr>
              <w:widowControl/>
              <w:spacing w:line="240" w:lineRule="auto"/>
              <w:jc w:val="center"/>
              <w:rPr>
                <w:rFonts w:ascii="Times" w:hAnsi="Times" w:eastAsiaTheme="minorEastAsia"/>
                <w:color w:val="000000" w:themeColor="text1"/>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0.10%</w:t>
            </w:r>
          </w:p>
        </w:tc>
      </w:tr>
      <w:tr>
        <w:tblPrEx>
          <w:tblCellMar>
            <w:top w:w="0" w:type="dxa"/>
            <w:left w:w="108" w:type="dxa"/>
            <w:bottom w:w="0" w:type="dxa"/>
            <w:right w:w="108" w:type="dxa"/>
          </w:tblCellMar>
        </w:tblPrEx>
        <w:trPr>
          <w:trHeight w:val="315"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枢纽场站</w:t>
            </w:r>
          </w:p>
        </w:tc>
        <w:tc>
          <w:tcPr>
            <w:tcW w:w="1842"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w:hAnsi="Times" w:eastAsiaTheme="minorEastAsia"/>
                <w:color w:val="000000" w:themeColor="text1"/>
                <w:kern w:val="0"/>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19.37</w:t>
            </w:r>
          </w:p>
        </w:tc>
        <w:tc>
          <w:tcPr>
            <w:tcW w:w="2006" w:type="dxa"/>
            <w:tcBorders>
              <w:top w:val="nil"/>
              <w:left w:val="nil"/>
              <w:bottom w:val="single" w:color="auto" w:sz="4" w:space="0"/>
              <w:right w:val="single" w:color="auto" w:sz="4" w:space="0"/>
            </w:tcBorders>
            <w:vAlign w:val="center"/>
          </w:tcPr>
          <w:p>
            <w:pPr>
              <w:widowControl/>
              <w:spacing w:line="240" w:lineRule="auto"/>
              <w:jc w:val="center"/>
              <w:rPr>
                <w:rFonts w:ascii="Times" w:hAnsi="Times" w:eastAsiaTheme="minorEastAsia"/>
                <w:color w:val="000000" w:themeColor="text1"/>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3.34</w:t>
            </w:r>
          </w:p>
        </w:tc>
        <w:tc>
          <w:tcPr>
            <w:tcW w:w="1759" w:type="dxa"/>
            <w:tcBorders>
              <w:top w:val="nil"/>
              <w:left w:val="nil"/>
              <w:bottom w:val="single" w:color="auto" w:sz="4" w:space="0"/>
              <w:right w:val="single" w:color="auto" w:sz="4" w:space="0"/>
            </w:tcBorders>
          </w:tcPr>
          <w:p>
            <w:pPr>
              <w:widowControl/>
              <w:spacing w:line="240" w:lineRule="auto"/>
              <w:jc w:val="center"/>
              <w:rPr>
                <w:rFonts w:ascii="Times" w:hAnsi="Times" w:eastAsiaTheme="minorEastAsia"/>
                <w:color w:val="000000" w:themeColor="text1"/>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0.67%</w:t>
            </w:r>
          </w:p>
        </w:tc>
      </w:tr>
      <w:tr>
        <w:tblPrEx>
          <w:tblCellMar>
            <w:top w:w="0" w:type="dxa"/>
            <w:left w:w="108" w:type="dxa"/>
            <w:bottom w:w="0" w:type="dxa"/>
            <w:right w:w="108" w:type="dxa"/>
          </w:tblCellMar>
        </w:tblPrEx>
        <w:trPr>
          <w:trHeight w:val="315"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物流中心</w:t>
            </w:r>
          </w:p>
        </w:tc>
        <w:tc>
          <w:tcPr>
            <w:tcW w:w="1842"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w:hAnsi="Times" w:eastAsiaTheme="minorEastAsia"/>
                <w:color w:val="000000" w:themeColor="text1"/>
                <w:kern w:val="0"/>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12.37</w:t>
            </w:r>
          </w:p>
        </w:tc>
        <w:tc>
          <w:tcPr>
            <w:tcW w:w="2006" w:type="dxa"/>
            <w:tcBorders>
              <w:top w:val="nil"/>
              <w:left w:val="nil"/>
              <w:bottom w:val="single" w:color="auto" w:sz="4" w:space="0"/>
              <w:right w:val="single" w:color="auto" w:sz="4" w:space="0"/>
            </w:tcBorders>
            <w:vAlign w:val="center"/>
          </w:tcPr>
          <w:p>
            <w:pPr>
              <w:widowControl/>
              <w:spacing w:line="240" w:lineRule="auto"/>
              <w:jc w:val="center"/>
              <w:rPr>
                <w:rFonts w:ascii="Times" w:hAnsi="Times" w:eastAsiaTheme="minorEastAsia"/>
                <w:color w:val="000000" w:themeColor="text1"/>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5.08</w:t>
            </w:r>
          </w:p>
        </w:tc>
        <w:tc>
          <w:tcPr>
            <w:tcW w:w="1759" w:type="dxa"/>
            <w:tcBorders>
              <w:top w:val="nil"/>
              <w:left w:val="nil"/>
              <w:bottom w:val="single" w:color="auto" w:sz="4" w:space="0"/>
              <w:right w:val="single" w:color="auto" w:sz="4" w:space="0"/>
            </w:tcBorders>
          </w:tcPr>
          <w:p>
            <w:pPr>
              <w:widowControl/>
              <w:spacing w:line="240" w:lineRule="auto"/>
              <w:jc w:val="center"/>
              <w:rPr>
                <w:rFonts w:ascii="Times" w:hAnsi="Times" w:eastAsiaTheme="minorEastAsia"/>
                <w:color w:val="000000" w:themeColor="text1"/>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1.02%</w:t>
            </w:r>
          </w:p>
        </w:tc>
      </w:tr>
      <w:tr>
        <w:tblPrEx>
          <w:tblCellMar>
            <w:top w:w="0" w:type="dxa"/>
            <w:left w:w="108" w:type="dxa"/>
            <w:bottom w:w="0" w:type="dxa"/>
            <w:right w:w="108" w:type="dxa"/>
          </w:tblCellMar>
        </w:tblPrEx>
        <w:trPr>
          <w:trHeight w:val="315"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联网路</w:t>
            </w:r>
          </w:p>
        </w:tc>
        <w:tc>
          <w:tcPr>
            <w:tcW w:w="1842"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w:hAnsi="Times" w:eastAsiaTheme="minorEastAsia"/>
                <w:color w:val="000000" w:themeColor="text1"/>
                <w:kern w:val="0"/>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1.70</w:t>
            </w:r>
          </w:p>
        </w:tc>
        <w:tc>
          <w:tcPr>
            <w:tcW w:w="2006" w:type="dxa"/>
            <w:tcBorders>
              <w:top w:val="nil"/>
              <w:left w:val="nil"/>
              <w:bottom w:val="single" w:color="auto" w:sz="4" w:space="0"/>
              <w:right w:val="single" w:color="auto" w:sz="4" w:space="0"/>
            </w:tcBorders>
            <w:vAlign w:val="center"/>
          </w:tcPr>
          <w:p>
            <w:pPr>
              <w:widowControl/>
              <w:spacing w:line="240" w:lineRule="auto"/>
              <w:jc w:val="center"/>
              <w:rPr>
                <w:rFonts w:ascii="Times" w:hAnsi="Times" w:eastAsiaTheme="minorEastAsia"/>
                <w:color w:val="000000" w:themeColor="text1"/>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1.70</w:t>
            </w:r>
          </w:p>
        </w:tc>
        <w:tc>
          <w:tcPr>
            <w:tcW w:w="1759" w:type="dxa"/>
            <w:tcBorders>
              <w:top w:val="nil"/>
              <w:left w:val="nil"/>
              <w:bottom w:val="single" w:color="auto" w:sz="4" w:space="0"/>
              <w:right w:val="single" w:color="auto" w:sz="4" w:space="0"/>
            </w:tcBorders>
          </w:tcPr>
          <w:p>
            <w:pPr>
              <w:widowControl/>
              <w:spacing w:line="240" w:lineRule="auto"/>
              <w:jc w:val="center"/>
              <w:rPr>
                <w:rFonts w:ascii="Times" w:hAnsi="Times" w:eastAsiaTheme="minorEastAsia"/>
                <w:color w:val="000000" w:themeColor="text1"/>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0.34%</w:t>
            </w:r>
          </w:p>
        </w:tc>
      </w:tr>
      <w:tr>
        <w:tblPrEx>
          <w:tblCellMar>
            <w:top w:w="0" w:type="dxa"/>
            <w:left w:w="108" w:type="dxa"/>
            <w:bottom w:w="0" w:type="dxa"/>
            <w:right w:w="108" w:type="dxa"/>
          </w:tblCellMar>
        </w:tblPrEx>
        <w:trPr>
          <w:trHeight w:val="300"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信息化建设项目</w:t>
            </w:r>
          </w:p>
        </w:tc>
        <w:tc>
          <w:tcPr>
            <w:tcW w:w="1842"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w:hAnsi="Times" w:eastAsiaTheme="minorEastAsia"/>
                <w:color w:val="000000" w:themeColor="text1"/>
                <w:kern w:val="0"/>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0.93</w:t>
            </w:r>
          </w:p>
        </w:tc>
        <w:tc>
          <w:tcPr>
            <w:tcW w:w="2006" w:type="dxa"/>
            <w:tcBorders>
              <w:top w:val="nil"/>
              <w:left w:val="nil"/>
              <w:bottom w:val="single" w:color="auto" w:sz="4" w:space="0"/>
              <w:right w:val="single" w:color="auto" w:sz="4" w:space="0"/>
            </w:tcBorders>
            <w:vAlign w:val="center"/>
          </w:tcPr>
          <w:p>
            <w:pPr>
              <w:widowControl/>
              <w:spacing w:line="240" w:lineRule="auto"/>
              <w:jc w:val="center"/>
              <w:rPr>
                <w:rFonts w:ascii="Times" w:hAnsi="Times" w:eastAsiaTheme="minorEastAsia"/>
                <w:color w:val="000000" w:themeColor="text1"/>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0.93</w:t>
            </w:r>
          </w:p>
        </w:tc>
        <w:tc>
          <w:tcPr>
            <w:tcW w:w="1759" w:type="dxa"/>
            <w:tcBorders>
              <w:top w:val="nil"/>
              <w:left w:val="nil"/>
              <w:bottom w:val="single" w:color="auto" w:sz="4" w:space="0"/>
              <w:right w:val="single" w:color="auto" w:sz="4" w:space="0"/>
            </w:tcBorders>
          </w:tcPr>
          <w:p>
            <w:pPr>
              <w:widowControl/>
              <w:spacing w:line="240" w:lineRule="auto"/>
              <w:jc w:val="center"/>
              <w:rPr>
                <w:rFonts w:ascii="Times" w:hAnsi="Times" w:eastAsiaTheme="minorEastAsia"/>
                <w:color w:val="000000" w:themeColor="text1"/>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0.19%</w:t>
            </w:r>
          </w:p>
        </w:tc>
      </w:tr>
      <w:tr>
        <w:tblPrEx>
          <w:tblCellMar>
            <w:top w:w="0" w:type="dxa"/>
            <w:left w:w="108" w:type="dxa"/>
            <w:bottom w:w="0" w:type="dxa"/>
            <w:right w:w="108" w:type="dxa"/>
          </w:tblCellMar>
        </w:tblPrEx>
        <w:trPr>
          <w:trHeight w:val="285"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合计</w:t>
            </w:r>
          </w:p>
        </w:tc>
        <w:tc>
          <w:tcPr>
            <w:tcW w:w="1842"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w:hAnsi="Times" w:eastAsiaTheme="minorEastAsia"/>
                <w:b/>
                <w:bCs/>
                <w:color w:val="000000"/>
                <w:kern w:val="0"/>
                <w:sz w:val="22"/>
                <w:szCs w:val="22"/>
              </w:rPr>
            </w:pPr>
            <w:bookmarkStart w:id="944" w:name="_Hlk82079397"/>
            <w:r>
              <w:rPr>
                <w:rFonts w:ascii="Times" w:hAnsi="Times" w:eastAsiaTheme="minorEastAsia"/>
                <w:b/>
                <w:bCs/>
                <w:color w:val="000000"/>
                <w:kern w:val="0"/>
                <w:sz w:val="22"/>
                <w:szCs w:val="22"/>
              </w:rPr>
              <w:t>1205.25</w:t>
            </w:r>
            <w:bookmarkEnd w:id="944"/>
          </w:p>
        </w:tc>
        <w:tc>
          <w:tcPr>
            <w:tcW w:w="2006" w:type="dxa"/>
            <w:tcBorders>
              <w:top w:val="nil"/>
              <w:left w:val="nil"/>
              <w:bottom w:val="single" w:color="auto" w:sz="4" w:space="0"/>
              <w:right w:val="single" w:color="auto" w:sz="4" w:space="0"/>
            </w:tcBorders>
            <w:vAlign w:val="center"/>
          </w:tcPr>
          <w:p>
            <w:pPr>
              <w:widowControl/>
              <w:spacing w:line="240" w:lineRule="auto"/>
              <w:jc w:val="center"/>
              <w:rPr>
                <w:rFonts w:ascii="Times" w:hAnsi="Times" w:eastAsiaTheme="minorEastAsia"/>
                <w:b/>
                <w:bCs/>
                <w:color w:val="000000"/>
                <w:kern w:val="0"/>
                <w:sz w:val="22"/>
                <w:szCs w:val="22"/>
              </w:rPr>
            </w:pPr>
            <w:bookmarkStart w:id="945" w:name="_Hlk78988480"/>
            <w:r>
              <w:rPr>
                <w:rFonts w:ascii="Times" w:hAnsi="Times" w:eastAsiaTheme="minorEastAsia"/>
                <w:b/>
                <w:bCs/>
                <w:sz w:val="22"/>
                <w:szCs w:val="22"/>
              </w:rPr>
              <w:t>496.75</w:t>
            </w:r>
            <w:bookmarkEnd w:id="945"/>
          </w:p>
        </w:tc>
        <w:tc>
          <w:tcPr>
            <w:tcW w:w="1759" w:type="dxa"/>
            <w:tcBorders>
              <w:top w:val="nil"/>
              <w:left w:val="nil"/>
              <w:bottom w:val="single" w:color="auto" w:sz="4" w:space="0"/>
              <w:right w:val="single" w:color="auto" w:sz="4" w:space="0"/>
            </w:tcBorders>
          </w:tcPr>
          <w:p>
            <w:pPr>
              <w:widowControl/>
              <w:spacing w:line="240" w:lineRule="auto"/>
              <w:jc w:val="center"/>
              <w:rPr>
                <w:rFonts w:ascii="Times" w:hAnsi="Times" w:eastAsiaTheme="minorEastAsia"/>
                <w:color w:val="000000" w:themeColor="text1"/>
                <w:sz w:val="22"/>
                <w:szCs w:val="22"/>
                <w14:textFill>
                  <w14:solidFill>
                    <w14:schemeClr w14:val="tx1"/>
                  </w14:solidFill>
                </w14:textFill>
              </w:rPr>
            </w:pPr>
            <w:r>
              <w:rPr>
                <w:rFonts w:ascii="Times" w:hAnsi="Times" w:eastAsiaTheme="minorEastAsia"/>
                <w:color w:val="000000" w:themeColor="text1"/>
                <w:sz w:val="22"/>
                <w:szCs w:val="22"/>
                <w14:textFill>
                  <w14:solidFill>
                    <w14:schemeClr w14:val="tx1"/>
                  </w14:solidFill>
                </w14:textFill>
              </w:rPr>
              <w:t>100.00%</w:t>
            </w:r>
          </w:p>
        </w:tc>
      </w:tr>
    </w:tbl>
    <w:p>
      <w:pPr>
        <w:pStyle w:val="4"/>
        <w:rPr>
          <w:rFonts w:asciiTheme="majorEastAsia" w:hAnsiTheme="majorEastAsia" w:eastAsiaTheme="majorEastAsia"/>
        </w:rPr>
      </w:pPr>
      <w:bookmarkStart w:id="946" w:name="_Toc79923793"/>
      <w:bookmarkStart w:id="947" w:name="_Toc89102202"/>
      <w:bookmarkStart w:id="948" w:name="_Toc81406407"/>
      <w:bookmarkStart w:id="949" w:name="_Toc82161478"/>
      <w:bookmarkStart w:id="950" w:name="_Toc80103533"/>
      <w:bookmarkStart w:id="951" w:name="_Toc80715983"/>
      <w:bookmarkStart w:id="952" w:name="_Toc79048578"/>
      <w:bookmarkStart w:id="953" w:name="_Toc78813496"/>
      <w:bookmarkStart w:id="954" w:name="_Toc78556442"/>
      <w:bookmarkStart w:id="955" w:name="_Toc76993420"/>
      <w:bookmarkStart w:id="956" w:name="_Toc78551022"/>
      <w:bookmarkStart w:id="957" w:name="_Toc78374993"/>
      <w:bookmarkStart w:id="958" w:name="_Toc76994497"/>
      <w:bookmarkStart w:id="959" w:name="_Toc76994113"/>
      <w:bookmarkStart w:id="960" w:name="_Toc75518152"/>
      <w:bookmarkStart w:id="961" w:name="_Toc76490243"/>
      <w:bookmarkStart w:id="962" w:name="_Toc72778003"/>
      <w:bookmarkStart w:id="963" w:name="_Toc73625979"/>
      <w:bookmarkStart w:id="964" w:name="_Toc66367628"/>
      <w:bookmarkStart w:id="965" w:name="_Toc66367433"/>
      <w:bookmarkStart w:id="966" w:name="_Toc66367346"/>
      <w:bookmarkStart w:id="967" w:name="_Toc72513455"/>
      <w:bookmarkStart w:id="968" w:name="_Toc58318757"/>
      <w:bookmarkStart w:id="969" w:name="_Toc56264712"/>
      <w:bookmarkStart w:id="970" w:name="_Toc66179144"/>
      <w:bookmarkStart w:id="971" w:name="_Toc63601018"/>
      <w:bookmarkStart w:id="972" w:name="_Toc66367259"/>
      <w:r>
        <w:rPr>
          <w:rFonts w:asciiTheme="majorEastAsia" w:hAnsiTheme="majorEastAsia" w:eastAsiaTheme="majorEastAsia"/>
        </w:rPr>
        <w:t>5.2.2资金筹措方案分析</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pPr>
        <w:spacing w:line="480" w:lineRule="auto"/>
        <w:ind w:firstLine="560" w:firstLineChars="200"/>
        <w:rPr>
          <w:rFonts w:asciiTheme="majorEastAsia" w:hAnsiTheme="majorEastAsia" w:eastAsiaTheme="majorEastAsia"/>
          <w:bCs/>
          <w:color w:val="000000" w:themeColor="text1"/>
          <w:szCs w:val="28"/>
          <w14:textFill>
            <w14:solidFill>
              <w14:schemeClr w14:val="tx1"/>
            </w14:solidFill>
          </w14:textFill>
        </w:rPr>
      </w:pPr>
      <w:r>
        <w:rPr>
          <w:rFonts w:hint="eastAsia" w:asciiTheme="majorEastAsia" w:hAnsiTheme="majorEastAsia" w:eastAsiaTheme="majorEastAsia"/>
          <w:bCs/>
          <w:color w:val="000000" w:themeColor="text1"/>
          <w:szCs w:val="28"/>
          <w14:textFill>
            <w14:solidFill>
              <w14:schemeClr w14:val="tx1"/>
            </w14:solidFill>
          </w14:textFill>
        </w:rPr>
        <w:t xml:space="preserve"> “十四五”期交通工作任务重、资金需求量大，为确保规划顺利实施，须对筹资方案进行科学设计。在严格防范政府债务风险的基础上，积极争取国家政策支持，用足用好省级财政资金，积极创新融资模式，压实地方责任，为规划顺利实施做好资金保障。结合国家政策、六盘水市发展实际及“十三五”发展经验，考虑按照以下思路谋划资金筹措方案：</w:t>
      </w:r>
    </w:p>
    <w:p>
      <w:pPr>
        <w:spacing w:line="480" w:lineRule="auto"/>
        <w:ind w:firstLine="560" w:firstLineChars="200"/>
        <w:rPr>
          <w:rFonts w:asciiTheme="majorEastAsia" w:hAnsiTheme="majorEastAsia" w:eastAsiaTheme="majorEastAsia"/>
          <w:bCs/>
          <w:color w:val="000000" w:themeColor="text1"/>
          <w:szCs w:val="28"/>
          <w14:textFill>
            <w14:solidFill>
              <w14:schemeClr w14:val="tx1"/>
            </w14:solidFill>
          </w14:textFill>
        </w:rPr>
      </w:pPr>
      <w:r>
        <w:rPr>
          <w:rFonts w:hint="eastAsia" w:asciiTheme="majorEastAsia" w:hAnsiTheme="majorEastAsia" w:eastAsiaTheme="majorEastAsia"/>
          <w:bCs/>
          <w:color w:val="000000" w:themeColor="text1"/>
          <w:szCs w:val="28"/>
          <w14:textFill>
            <w14:solidFill>
              <w14:schemeClr w14:val="tx1"/>
            </w14:solidFill>
          </w14:textFill>
        </w:rPr>
        <w:t>一是用足政策，充分利用上级补助资金；</w:t>
      </w:r>
    </w:p>
    <w:p>
      <w:pPr>
        <w:spacing w:line="480" w:lineRule="auto"/>
        <w:ind w:firstLine="560" w:firstLineChars="200"/>
        <w:rPr>
          <w:rFonts w:asciiTheme="majorEastAsia" w:hAnsiTheme="majorEastAsia" w:eastAsiaTheme="majorEastAsia"/>
          <w:bCs/>
          <w:color w:val="000000" w:themeColor="text1"/>
          <w:szCs w:val="28"/>
          <w14:textFill>
            <w14:solidFill>
              <w14:schemeClr w14:val="tx1"/>
            </w14:solidFill>
          </w14:textFill>
        </w:rPr>
      </w:pPr>
      <w:r>
        <w:rPr>
          <w:rFonts w:hint="eastAsia" w:asciiTheme="majorEastAsia" w:hAnsiTheme="majorEastAsia" w:eastAsiaTheme="majorEastAsia"/>
          <w:bCs/>
          <w:color w:val="000000" w:themeColor="text1"/>
          <w:szCs w:val="28"/>
          <w14:textFill>
            <w14:solidFill>
              <w14:schemeClr w14:val="tx1"/>
            </w14:solidFill>
          </w14:textFill>
        </w:rPr>
        <w:t>二是金融支撑，积极争取银行贷款资金；</w:t>
      </w:r>
    </w:p>
    <w:p>
      <w:pPr>
        <w:spacing w:line="480" w:lineRule="auto"/>
        <w:ind w:firstLine="560" w:firstLineChars="200"/>
        <w:rPr>
          <w:rFonts w:asciiTheme="majorEastAsia" w:hAnsiTheme="majorEastAsia" w:eastAsiaTheme="majorEastAsia"/>
          <w:bCs/>
          <w:color w:val="000000" w:themeColor="text1"/>
          <w:szCs w:val="28"/>
          <w14:textFill>
            <w14:solidFill>
              <w14:schemeClr w14:val="tx1"/>
            </w14:solidFill>
          </w14:textFill>
        </w:rPr>
      </w:pPr>
      <w:r>
        <w:rPr>
          <w:rFonts w:hint="eastAsia" w:asciiTheme="majorEastAsia" w:hAnsiTheme="majorEastAsia" w:eastAsiaTheme="majorEastAsia"/>
          <w:bCs/>
          <w:color w:val="000000" w:themeColor="text1"/>
          <w:szCs w:val="28"/>
          <w14:textFill>
            <w14:solidFill>
              <w14:schemeClr w14:val="tx1"/>
            </w14:solidFill>
          </w14:textFill>
        </w:rPr>
        <w:t>三是创新模式，继续积极引入社会资本；</w:t>
      </w:r>
    </w:p>
    <w:p>
      <w:pPr>
        <w:spacing w:line="480" w:lineRule="auto"/>
        <w:ind w:firstLine="560" w:firstLineChars="200"/>
        <w:rPr>
          <w:rFonts w:asciiTheme="majorEastAsia" w:hAnsiTheme="majorEastAsia" w:eastAsiaTheme="majorEastAsia"/>
          <w:bCs/>
          <w:color w:val="000000" w:themeColor="text1"/>
          <w:szCs w:val="28"/>
          <w14:textFill>
            <w14:solidFill>
              <w14:schemeClr w14:val="tx1"/>
            </w14:solidFill>
          </w14:textFill>
        </w:rPr>
      </w:pPr>
      <w:r>
        <w:rPr>
          <w:rFonts w:hint="eastAsia" w:asciiTheme="majorEastAsia" w:hAnsiTheme="majorEastAsia" w:eastAsiaTheme="majorEastAsia"/>
          <w:bCs/>
          <w:color w:val="000000" w:themeColor="text1"/>
          <w:szCs w:val="28"/>
          <w14:textFill>
            <w14:solidFill>
              <w14:schemeClr w14:val="tx1"/>
            </w14:solidFill>
          </w14:textFill>
        </w:rPr>
        <w:t>四是上下联动，落实县级政府支出责任；</w:t>
      </w:r>
    </w:p>
    <w:p>
      <w:pPr>
        <w:spacing w:line="480" w:lineRule="auto"/>
        <w:ind w:firstLine="560" w:firstLineChars="200"/>
        <w:rPr>
          <w:rFonts w:asciiTheme="majorEastAsia" w:hAnsiTheme="majorEastAsia" w:eastAsiaTheme="majorEastAsia"/>
          <w:bCs/>
          <w:color w:val="000000" w:themeColor="text1"/>
          <w:szCs w:val="28"/>
          <w14:textFill>
            <w14:solidFill>
              <w14:schemeClr w14:val="tx1"/>
            </w14:solidFill>
          </w14:textFill>
        </w:rPr>
      </w:pPr>
      <w:r>
        <w:rPr>
          <w:rFonts w:hint="eastAsia" w:asciiTheme="majorEastAsia" w:hAnsiTheme="majorEastAsia" w:eastAsiaTheme="majorEastAsia"/>
          <w:bCs/>
          <w:color w:val="000000" w:themeColor="text1"/>
          <w:szCs w:val="28"/>
          <w14:textFill>
            <w14:solidFill>
              <w14:schemeClr w14:val="tx1"/>
            </w14:solidFill>
          </w14:textFill>
        </w:rPr>
        <w:t>五是整合资源，统筹使用各项基金；</w:t>
      </w:r>
    </w:p>
    <w:p>
      <w:pPr>
        <w:spacing w:line="480" w:lineRule="auto"/>
        <w:ind w:firstLine="560" w:firstLineChars="200"/>
        <w:rPr>
          <w:rFonts w:asciiTheme="majorEastAsia" w:hAnsiTheme="majorEastAsia" w:eastAsiaTheme="majorEastAsia"/>
          <w:color w:val="000000" w:themeColor="text1"/>
          <w:szCs w:val="28"/>
          <w14:textFill>
            <w14:solidFill>
              <w14:schemeClr w14:val="tx1"/>
            </w14:solidFill>
          </w14:textFill>
        </w:rPr>
      </w:pPr>
      <w:r>
        <w:rPr>
          <w:rFonts w:asciiTheme="majorEastAsia" w:hAnsiTheme="majorEastAsia" w:eastAsiaTheme="majorEastAsia"/>
          <w:color w:val="000000" w:themeColor="text1"/>
          <w:szCs w:val="28"/>
          <w14:textFill>
            <w14:solidFill>
              <w14:schemeClr w14:val="tx1"/>
            </w14:solidFill>
          </w14:textFill>
        </w:rPr>
        <w:t>具体筹资方案如下：</w:t>
      </w:r>
    </w:p>
    <w:p>
      <w:pPr>
        <w:spacing w:line="480" w:lineRule="auto"/>
        <w:ind w:firstLine="562" w:firstLineChars="200"/>
        <w:rPr>
          <w:rFonts w:asciiTheme="majorEastAsia" w:hAnsiTheme="majorEastAsia" w:eastAsiaTheme="majorEastAsia"/>
          <w:b/>
          <w:bCs/>
          <w:color w:val="000000" w:themeColor="text1"/>
          <w:szCs w:val="28"/>
          <w14:textFill>
            <w14:solidFill>
              <w14:schemeClr w14:val="tx1"/>
            </w14:solidFill>
          </w14:textFill>
        </w:rPr>
      </w:pPr>
      <w:r>
        <w:rPr>
          <w:rFonts w:asciiTheme="majorEastAsia" w:hAnsiTheme="majorEastAsia" w:eastAsiaTheme="majorEastAsia"/>
          <w:b/>
          <w:bCs/>
          <w:color w:val="000000" w:themeColor="text1"/>
          <w:szCs w:val="28"/>
          <w14:textFill>
            <w14:solidFill>
              <w14:schemeClr w14:val="tx1"/>
            </w14:solidFill>
          </w14:textFill>
        </w:rPr>
        <w:t>1．高速公路</w:t>
      </w:r>
    </w:p>
    <w:p>
      <w:pPr>
        <w:spacing w:line="480" w:lineRule="auto"/>
        <w:ind w:firstLine="560" w:firstLineChars="200"/>
        <w:rPr>
          <w:rFonts w:asciiTheme="majorEastAsia" w:hAnsiTheme="majorEastAsia" w:eastAsiaTheme="majorEastAsia"/>
          <w:color w:val="000000" w:themeColor="text1"/>
          <w:szCs w:val="28"/>
          <w14:textFill>
            <w14:solidFill>
              <w14:schemeClr w14:val="tx1"/>
            </w14:solidFill>
          </w14:textFill>
        </w:rPr>
      </w:pPr>
      <w:r>
        <w:rPr>
          <w:rFonts w:asciiTheme="majorEastAsia" w:hAnsiTheme="majorEastAsia" w:eastAsiaTheme="majorEastAsia"/>
          <w:color w:val="000000" w:themeColor="text1"/>
          <w:szCs w:val="28"/>
          <w14:textFill>
            <w14:solidFill>
              <w14:schemeClr w14:val="tx1"/>
            </w14:solidFill>
          </w14:textFill>
        </w:rPr>
        <w:t>——继续争取中央车购税补助资金等支持。</w:t>
      </w:r>
      <w:r>
        <w:rPr>
          <w:rFonts w:hint="eastAsia" w:asciiTheme="majorEastAsia" w:hAnsiTheme="majorEastAsia" w:eastAsiaTheme="majorEastAsia"/>
          <w:color w:val="000000" w:themeColor="text1"/>
          <w:szCs w:val="28"/>
          <w14:textFill>
            <w14:solidFill>
              <w14:schemeClr w14:val="tx1"/>
            </w14:solidFill>
          </w14:textFill>
        </w:rPr>
        <w:t>“十四五”</w:t>
      </w:r>
      <w:r>
        <w:rPr>
          <w:rFonts w:asciiTheme="majorEastAsia" w:hAnsiTheme="majorEastAsia" w:eastAsiaTheme="majorEastAsia"/>
          <w:color w:val="000000" w:themeColor="text1"/>
          <w:szCs w:val="28"/>
          <w14:textFill>
            <w14:solidFill>
              <w14:schemeClr w14:val="tx1"/>
            </w14:solidFill>
          </w14:textFill>
        </w:rPr>
        <w:t>高速公路项目储备相对充足，争取上级补助资金120.8亿元左右。</w:t>
      </w:r>
    </w:p>
    <w:p>
      <w:pPr>
        <w:spacing w:line="480" w:lineRule="auto"/>
        <w:ind w:firstLine="560" w:firstLineChars="200"/>
        <w:rPr>
          <w:rFonts w:asciiTheme="majorEastAsia" w:hAnsiTheme="majorEastAsia" w:eastAsiaTheme="majorEastAsia"/>
          <w:color w:val="000000" w:themeColor="text1"/>
          <w:szCs w:val="28"/>
          <w14:textFill>
            <w14:solidFill>
              <w14:schemeClr w14:val="tx1"/>
            </w14:solidFill>
          </w14:textFill>
        </w:rPr>
      </w:pPr>
      <w:r>
        <w:rPr>
          <w:rFonts w:asciiTheme="majorEastAsia" w:hAnsiTheme="majorEastAsia" w:eastAsiaTheme="majorEastAsia"/>
          <w:color w:val="000000" w:themeColor="text1"/>
          <w:szCs w:val="28"/>
          <w14:textFill>
            <w14:solidFill>
              <w14:schemeClr w14:val="tx1"/>
            </w14:solidFill>
          </w14:textFill>
        </w:rPr>
        <w:t>——争取省级财政延续对高速公路支持政策。按照《贵州省新时代高速公路建设五年决战实施方案》，至2022年，省财政已明确继续执行现行高速公路省级财政支持政策，且按每年10%递增安排财政路支持政策，保障高速公路省级资本金需求。</w:t>
      </w:r>
    </w:p>
    <w:p>
      <w:pPr>
        <w:spacing w:line="480" w:lineRule="auto"/>
        <w:ind w:firstLine="560" w:firstLineChars="200"/>
        <w:rPr>
          <w:rFonts w:asciiTheme="majorEastAsia" w:hAnsiTheme="majorEastAsia" w:eastAsiaTheme="majorEastAsia"/>
          <w:color w:val="000000" w:themeColor="text1"/>
          <w:szCs w:val="28"/>
          <w14:textFill>
            <w14:solidFill>
              <w14:schemeClr w14:val="tx1"/>
            </w14:solidFill>
          </w14:textFill>
        </w:rPr>
      </w:pPr>
      <w:r>
        <w:rPr>
          <w:rFonts w:asciiTheme="majorEastAsia" w:hAnsiTheme="majorEastAsia" w:eastAsiaTheme="majorEastAsia"/>
          <w:color w:val="000000" w:themeColor="text1"/>
          <w:szCs w:val="28"/>
          <w14:textFill>
            <w14:solidFill>
              <w14:schemeClr w14:val="tx1"/>
            </w14:solidFill>
          </w14:textFill>
        </w:rPr>
        <w:t>——落实市、县资金保障。对于省交通运输厅负责实施的高速公路PPP项目，省地按6：4比例分担项目运营期可行性缺口补助资金，并同比例享有超额收益分成。市、</w:t>
      </w:r>
      <w:r>
        <w:rPr>
          <w:rFonts w:hint="eastAsia" w:asciiTheme="majorEastAsia" w:hAnsiTheme="majorEastAsia" w:eastAsiaTheme="majorEastAsia"/>
          <w:color w:val="000000" w:themeColor="text1"/>
          <w:szCs w:val="28"/>
          <w14:textFill>
            <w14:solidFill>
              <w14:schemeClr w14:val="tx1"/>
            </w14:solidFill>
          </w14:textFill>
        </w:rPr>
        <w:t>区</w:t>
      </w:r>
      <w:r>
        <w:rPr>
          <w:rFonts w:asciiTheme="majorEastAsia" w:hAnsiTheme="majorEastAsia" w:eastAsiaTheme="majorEastAsia"/>
          <w:color w:val="000000" w:themeColor="text1"/>
          <w:szCs w:val="28"/>
          <w14:textFill>
            <w14:solidFill>
              <w14:schemeClr w14:val="tx1"/>
            </w14:solidFill>
          </w14:textFill>
        </w:rPr>
        <w:t>政府建立资金保障机制，每年相应安排足额财政预算资金并确保及时拨付到位。</w:t>
      </w:r>
    </w:p>
    <w:p>
      <w:pPr>
        <w:spacing w:line="480" w:lineRule="auto"/>
        <w:ind w:firstLine="560" w:firstLineChars="200"/>
        <w:rPr>
          <w:rFonts w:asciiTheme="majorEastAsia" w:hAnsiTheme="majorEastAsia" w:eastAsiaTheme="majorEastAsia"/>
          <w:color w:val="000000" w:themeColor="text1"/>
          <w:szCs w:val="28"/>
          <w14:textFill>
            <w14:solidFill>
              <w14:schemeClr w14:val="tx1"/>
            </w14:solidFill>
          </w14:textFill>
        </w:rPr>
      </w:pPr>
      <w:r>
        <w:rPr>
          <w:rFonts w:asciiTheme="majorEastAsia" w:hAnsiTheme="majorEastAsia" w:eastAsiaTheme="majorEastAsia"/>
          <w:color w:val="000000" w:themeColor="text1"/>
          <w:szCs w:val="28"/>
          <w14:textFill>
            <w14:solidFill>
              <w14:schemeClr w14:val="tx1"/>
            </w14:solidFill>
          </w14:textFill>
        </w:rPr>
        <w:t>——创新投融资模式。积极协调争取银行贷款，通过融资再安排等方式拓展资金来源。继续运用“BOT+EPC”“BOT+EPC+政府补助”“股权合作+BOT+EPC”等PPP模式，引入社会资本以独资、参股等模式参与全省高速公路投资建设运营。</w:t>
      </w:r>
    </w:p>
    <w:p>
      <w:pPr>
        <w:spacing w:line="480" w:lineRule="auto"/>
        <w:ind w:firstLine="560" w:firstLineChars="200"/>
        <w:rPr>
          <w:rFonts w:asciiTheme="majorEastAsia" w:hAnsiTheme="majorEastAsia" w:eastAsiaTheme="majorEastAsia"/>
          <w:color w:val="000000" w:themeColor="text1"/>
          <w:szCs w:val="28"/>
          <w14:textFill>
            <w14:solidFill>
              <w14:schemeClr w14:val="tx1"/>
            </w14:solidFill>
          </w14:textFill>
        </w:rPr>
      </w:pPr>
      <w:r>
        <w:rPr>
          <w:rFonts w:asciiTheme="majorEastAsia" w:hAnsiTheme="majorEastAsia" w:eastAsiaTheme="majorEastAsia"/>
          <w:color w:val="000000" w:themeColor="text1"/>
          <w:szCs w:val="28"/>
          <w14:textFill>
            <w14:solidFill>
              <w14:schemeClr w14:val="tx1"/>
            </w14:solidFill>
          </w14:textFill>
        </w:rPr>
        <w:t>初步考虑，“十四五”期高速公路</w:t>
      </w:r>
      <w:r>
        <w:rPr>
          <w:rFonts w:hint="eastAsia" w:asciiTheme="majorEastAsia" w:hAnsiTheme="majorEastAsia" w:eastAsiaTheme="majorEastAsia"/>
          <w:color w:val="000000" w:themeColor="text1"/>
          <w:szCs w:val="28"/>
          <w14:textFill>
            <w14:solidFill>
              <w14:schemeClr w14:val="tx1"/>
            </w14:solidFill>
          </w14:textFill>
        </w:rPr>
        <w:t>计划投资</w:t>
      </w:r>
      <w:r>
        <w:rPr>
          <w:rFonts w:asciiTheme="majorEastAsia" w:hAnsiTheme="majorEastAsia" w:eastAsiaTheme="majorEastAsia"/>
          <w:color w:val="000000" w:themeColor="text1"/>
          <w:szCs w:val="28"/>
          <w14:textFill>
            <w14:solidFill>
              <w14:schemeClr w14:val="tx1"/>
            </w14:solidFill>
          </w14:textFill>
        </w:rPr>
        <w:t>的381.4亿元中，</w:t>
      </w:r>
      <w:r>
        <w:rPr>
          <w:rFonts w:hint="eastAsia" w:asciiTheme="majorEastAsia" w:hAnsiTheme="majorEastAsia" w:eastAsiaTheme="majorEastAsia"/>
          <w:color w:val="000000" w:themeColor="text1"/>
          <w:szCs w:val="28"/>
          <w14:textFill>
            <w14:solidFill>
              <w14:schemeClr w14:val="tx1"/>
            </w14:solidFill>
          </w14:textFill>
        </w:rPr>
        <w:t>争取上级补助资金</w:t>
      </w:r>
      <w:r>
        <w:rPr>
          <w:rFonts w:asciiTheme="majorEastAsia" w:hAnsiTheme="majorEastAsia" w:eastAsiaTheme="majorEastAsia"/>
          <w:color w:val="000000" w:themeColor="text1"/>
          <w:szCs w:val="28"/>
          <w14:textFill>
            <w14:solidFill>
              <w14:schemeClr w14:val="tx1"/>
            </w14:solidFill>
          </w14:textFill>
        </w:rPr>
        <w:t>120.8</w:t>
      </w:r>
      <w:r>
        <w:rPr>
          <w:rFonts w:hint="eastAsia" w:asciiTheme="majorEastAsia" w:hAnsiTheme="majorEastAsia" w:eastAsiaTheme="majorEastAsia"/>
          <w:color w:val="000000" w:themeColor="text1"/>
          <w:szCs w:val="28"/>
          <w14:textFill>
            <w14:solidFill>
              <w14:schemeClr w14:val="tx1"/>
            </w14:solidFill>
          </w14:textFill>
        </w:rPr>
        <w:t>亿元左右，银行贷款</w:t>
      </w:r>
      <w:r>
        <w:rPr>
          <w:rFonts w:asciiTheme="majorEastAsia" w:hAnsiTheme="majorEastAsia" w:eastAsiaTheme="majorEastAsia"/>
          <w:color w:val="000000" w:themeColor="text1"/>
          <w:szCs w:val="28"/>
          <w14:textFill>
            <w14:solidFill>
              <w14:schemeClr w14:val="tx1"/>
            </w14:solidFill>
          </w14:textFill>
        </w:rPr>
        <w:t>260.6亿元</w:t>
      </w:r>
      <w:r>
        <w:rPr>
          <w:rFonts w:hint="eastAsia" w:asciiTheme="majorEastAsia" w:hAnsiTheme="majorEastAsia" w:eastAsiaTheme="majorEastAsia"/>
          <w:color w:val="000000" w:themeColor="text1"/>
          <w:szCs w:val="28"/>
          <w14:textFill>
            <w14:solidFill>
              <w14:schemeClr w14:val="tx1"/>
            </w14:solidFill>
          </w14:textFill>
        </w:rPr>
        <w:t>。</w:t>
      </w:r>
    </w:p>
    <w:p>
      <w:pPr>
        <w:spacing w:line="480" w:lineRule="auto"/>
        <w:ind w:firstLine="562" w:firstLineChars="200"/>
        <w:rPr>
          <w:rFonts w:asciiTheme="majorEastAsia" w:hAnsiTheme="majorEastAsia" w:eastAsiaTheme="majorEastAsia"/>
          <w:b/>
          <w:bCs/>
          <w:color w:val="000000" w:themeColor="text1"/>
          <w:szCs w:val="28"/>
          <w14:textFill>
            <w14:solidFill>
              <w14:schemeClr w14:val="tx1"/>
            </w14:solidFill>
          </w14:textFill>
        </w:rPr>
      </w:pPr>
      <w:r>
        <w:rPr>
          <w:rFonts w:asciiTheme="majorEastAsia" w:hAnsiTheme="majorEastAsia" w:eastAsiaTheme="majorEastAsia"/>
          <w:b/>
          <w:bCs/>
          <w:color w:val="000000" w:themeColor="text1"/>
          <w:szCs w:val="28"/>
          <w14:textFill>
            <w14:solidFill>
              <w14:schemeClr w14:val="tx1"/>
            </w14:solidFill>
          </w14:textFill>
        </w:rPr>
        <w:t>2．普通国道</w:t>
      </w:r>
    </w:p>
    <w:p>
      <w:pPr>
        <w:spacing w:line="480" w:lineRule="auto"/>
        <w:ind w:firstLine="560" w:firstLineChars="200"/>
        <w:rPr>
          <w:rFonts w:asciiTheme="majorEastAsia" w:hAnsiTheme="majorEastAsia" w:eastAsiaTheme="majorEastAsia"/>
          <w:color w:val="000000" w:themeColor="text1"/>
          <w:szCs w:val="28"/>
          <w14:textFill>
            <w14:solidFill>
              <w14:schemeClr w14:val="tx1"/>
            </w14:solidFill>
          </w14:textFill>
        </w:rPr>
      </w:pPr>
      <w:r>
        <w:rPr>
          <w:rFonts w:hint="eastAsia" w:asciiTheme="majorEastAsia" w:hAnsiTheme="majorEastAsia" w:eastAsiaTheme="majorEastAsia"/>
          <w:color w:val="000000" w:themeColor="text1"/>
          <w:szCs w:val="28"/>
          <w14:textFill>
            <w14:solidFill>
              <w14:schemeClr w14:val="tx1"/>
            </w14:solidFill>
          </w14:textFill>
        </w:rPr>
        <w:t>继续争取中央车购税等补助资金支持；积极争取省级财政对于普通省道建设的支持；落实市、区政府配套资金；加大高速公路对普通国省道的“反哺”力度。</w:t>
      </w:r>
    </w:p>
    <w:p>
      <w:pPr>
        <w:spacing w:line="480" w:lineRule="auto"/>
        <w:ind w:firstLine="560" w:firstLineChars="200"/>
        <w:rPr>
          <w:rFonts w:asciiTheme="majorEastAsia" w:hAnsiTheme="majorEastAsia" w:eastAsiaTheme="majorEastAsia"/>
          <w:color w:val="000000" w:themeColor="text1"/>
          <w:szCs w:val="28"/>
          <w14:textFill>
            <w14:solidFill>
              <w14:schemeClr w14:val="tx1"/>
            </w14:solidFill>
          </w14:textFill>
        </w:rPr>
      </w:pPr>
      <w:r>
        <w:rPr>
          <w:rFonts w:hint="eastAsia" w:asciiTheme="majorEastAsia" w:hAnsiTheme="majorEastAsia" w:eastAsiaTheme="majorEastAsia"/>
          <w:color w:val="000000" w:themeColor="text1"/>
          <w:szCs w:val="28"/>
          <w14:textFill>
            <w14:solidFill>
              <w14:schemeClr w14:val="tx1"/>
            </w14:solidFill>
          </w14:textFill>
        </w:rPr>
        <w:t>普通国道项目路面改造项目按新改建项目的20%执行；收费项目按不超过所在地区按国家高速公路标准测算的投资额度；一级公路每公里补助1600万元，建安费超过3000万，每上涨</w:t>
      </w:r>
      <w:r>
        <w:rPr>
          <w:rFonts w:asciiTheme="majorEastAsia" w:hAnsiTheme="majorEastAsia" w:eastAsiaTheme="majorEastAsia"/>
          <w:color w:val="000000" w:themeColor="text1"/>
          <w:szCs w:val="28"/>
          <w14:textFill>
            <w14:solidFill>
              <w14:schemeClr w14:val="tx1"/>
            </w14:solidFill>
          </w14:textFill>
        </w:rPr>
        <w:t>4</w:t>
      </w:r>
      <w:r>
        <w:rPr>
          <w:rFonts w:hint="eastAsia" w:asciiTheme="majorEastAsia" w:hAnsiTheme="majorEastAsia" w:eastAsiaTheme="majorEastAsia"/>
          <w:color w:val="000000" w:themeColor="text1"/>
          <w:szCs w:val="28"/>
          <w14:textFill>
            <w14:solidFill>
              <w14:schemeClr w14:val="tx1"/>
            </w14:solidFill>
          </w14:textFill>
        </w:rPr>
        <w:t>00万，补助标准上浮10%，最高上浮100%；二级公路每公里补助800万元，建安费超过1000万，每上涨</w:t>
      </w:r>
      <w:r>
        <w:rPr>
          <w:rFonts w:asciiTheme="majorEastAsia" w:hAnsiTheme="majorEastAsia" w:eastAsiaTheme="majorEastAsia"/>
          <w:color w:val="000000" w:themeColor="text1"/>
          <w:szCs w:val="28"/>
          <w14:textFill>
            <w14:solidFill>
              <w14:schemeClr w14:val="tx1"/>
            </w14:solidFill>
          </w14:textFill>
        </w:rPr>
        <w:t>150</w:t>
      </w:r>
      <w:r>
        <w:rPr>
          <w:rFonts w:hint="eastAsia" w:asciiTheme="majorEastAsia" w:hAnsiTheme="majorEastAsia" w:eastAsiaTheme="majorEastAsia"/>
          <w:color w:val="000000" w:themeColor="text1"/>
          <w:szCs w:val="28"/>
          <w14:textFill>
            <w14:solidFill>
              <w14:schemeClr w14:val="tx1"/>
            </w14:solidFill>
          </w14:textFill>
        </w:rPr>
        <w:t>万，补助标准上浮10%，最高上浮100%；三级公路每公里补助320万元，建安费超过500万，每上涨</w:t>
      </w:r>
      <w:r>
        <w:rPr>
          <w:rFonts w:asciiTheme="majorEastAsia" w:hAnsiTheme="majorEastAsia" w:eastAsiaTheme="majorEastAsia"/>
          <w:color w:val="000000" w:themeColor="text1"/>
          <w:szCs w:val="28"/>
          <w14:textFill>
            <w14:solidFill>
              <w14:schemeClr w14:val="tx1"/>
            </w14:solidFill>
          </w14:textFill>
        </w:rPr>
        <w:t>100</w:t>
      </w:r>
      <w:r>
        <w:rPr>
          <w:rFonts w:hint="eastAsia" w:asciiTheme="majorEastAsia" w:hAnsiTheme="majorEastAsia" w:eastAsiaTheme="majorEastAsia"/>
          <w:color w:val="000000" w:themeColor="text1"/>
          <w:szCs w:val="28"/>
          <w14:textFill>
            <w14:solidFill>
              <w14:schemeClr w14:val="tx1"/>
            </w14:solidFill>
          </w14:textFill>
        </w:rPr>
        <w:t>万，补助标准上浮10%，最高上浮100%；国道以下普通公路三级及以上技术等级补助标准原则上不超过国道三级公路补助标准，由省内结合区域内实际，因地制宜合理制定补助标准。</w:t>
      </w:r>
    </w:p>
    <w:p>
      <w:pPr>
        <w:spacing w:line="480" w:lineRule="auto"/>
        <w:ind w:firstLine="560" w:firstLineChars="200"/>
        <w:rPr>
          <w:rFonts w:asciiTheme="majorEastAsia" w:hAnsiTheme="majorEastAsia" w:eastAsiaTheme="majorEastAsia"/>
          <w:color w:val="000000" w:themeColor="text1"/>
          <w:szCs w:val="28"/>
          <w14:textFill>
            <w14:solidFill>
              <w14:schemeClr w14:val="tx1"/>
            </w14:solidFill>
          </w14:textFill>
        </w:rPr>
      </w:pPr>
      <w:r>
        <w:rPr>
          <w:rFonts w:hint="eastAsia" w:asciiTheme="majorEastAsia" w:hAnsiTheme="majorEastAsia" w:eastAsiaTheme="majorEastAsia"/>
          <w:color w:val="000000" w:themeColor="text1"/>
          <w:szCs w:val="28"/>
          <w14:textFill>
            <w14:solidFill>
              <w14:schemeClr w14:val="tx1"/>
            </w14:solidFill>
          </w14:textFill>
        </w:rPr>
        <w:t>经估算，“十四五”期六盘水市国道计划完成的</w:t>
      </w:r>
      <w:r>
        <w:rPr>
          <w:rFonts w:asciiTheme="majorEastAsia" w:hAnsiTheme="majorEastAsia" w:eastAsiaTheme="majorEastAsia"/>
          <w:color w:val="000000" w:themeColor="text1"/>
          <w:szCs w:val="28"/>
          <w14:textFill>
            <w14:solidFill>
              <w14:schemeClr w14:val="tx1"/>
            </w14:solidFill>
          </w14:textFill>
        </w:rPr>
        <w:t>41.10</w:t>
      </w:r>
      <w:r>
        <w:rPr>
          <w:rFonts w:hint="eastAsia" w:asciiTheme="majorEastAsia" w:hAnsiTheme="majorEastAsia" w:eastAsiaTheme="majorEastAsia"/>
          <w:color w:val="000000" w:themeColor="text1"/>
          <w:szCs w:val="28"/>
          <w14:textFill>
            <w14:solidFill>
              <w14:schemeClr w14:val="tx1"/>
            </w14:solidFill>
          </w14:textFill>
        </w:rPr>
        <w:t>亿元中，争取上级补助资金</w:t>
      </w:r>
      <w:r>
        <w:rPr>
          <w:rFonts w:asciiTheme="majorEastAsia" w:hAnsiTheme="majorEastAsia" w:eastAsiaTheme="majorEastAsia"/>
          <w:color w:val="000000" w:themeColor="text1"/>
          <w:szCs w:val="28"/>
          <w14:textFill>
            <w14:solidFill>
              <w14:schemeClr w14:val="tx1"/>
            </w14:solidFill>
          </w14:textFill>
        </w:rPr>
        <w:t>13.50</w:t>
      </w:r>
      <w:r>
        <w:rPr>
          <w:rFonts w:hint="eastAsia" w:asciiTheme="majorEastAsia" w:hAnsiTheme="majorEastAsia" w:eastAsiaTheme="majorEastAsia"/>
          <w:color w:val="000000" w:themeColor="text1"/>
          <w:szCs w:val="28"/>
          <w14:textFill>
            <w14:solidFill>
              <w14:schemeClr w14:val="tx1"/>
            </w14:solidFill>
          </w14:textFill>
        </w:rPr>
        <w:t>亿元左右，地方配套</w:t>
      </w:r>
      <w:r>
        <w:rPr>
          <w:rFonts w:asciiTheme="majorEastAsia" w:hAnsiTheme="majorEastAsia" w:eastAsiaTheme="majorEastAsia"/>
          <w:color w:val="000000" w:themeColor="text1"/>
          <w:szCs w:val="28"/>
          <w14:textFill>
            <w14:solidFill>
              <w14:schemeClr w14:val="tx1"/>
            </w14:solidFill>
          </w14:textFill>
        </w:rPr>
        <w:t>27.60</w:t>
      </w:r>
      <w:r>
        <w:rPr>
          <w:rFonts w:hint="eastAsia" w:asciiTheme="majorEastAsia" w:hAnsiTheme="majorEastAsia" w:eastAsiaTheme="majorEastAsia"/>
          <w:color w:val="000000" w:themeColor="text1"/>
          <w:szCs w:val="28"/>
          <w14:textFill>
            <w14:solidFill>
              <w14:schemeClr w14:val="tx1"/>
            </w14:solidFill>
          </w14:textFill>
        </w:rPr>
        <w:t>亿元。</w:t>
      </w:r>
    </w:p>
    <w:p>
      <w:pPr>
        <w:spacing w:line="480" w:lineRule="auto"/>
        <w:ind w:firstLine="562" w:firstLineChars="200"/>
        <w:rPr>
          <w:rFonts w:asciiTheme="majorEastAsia" w:hAnsiTheme="majorEastAsia" w:eastAsiaTheme="majorEastAsia"/>
          <w:b/>
          <w:bCs/>
          <w:color w:val="000000" w:themeColor="text1"/>
          <w:szCs w:val="28"/>
          <w14:textFill>
            <w14:solidFill>
              <w14:schemeClr w14:val="tx1"/>
            </w14:solidFill>
          </w14:textFill>
        </w:rPr>
      </w:pPr>
      <w:r>
        <w:rPr>
          <w:rFonts w:asciiTheme="majorEastAsia" w:hAnsiTheme="majorEastAsia" w:eastAsiaTheme="majorEastAsia"/>
          <w:b/>
          <w:bCs/>
          <w:color w:val="000000" w:themeColor="text1"/>
          <w:szCs w:val="28"/>
          <w14:textFill>
            <w14:solidFill>
              <w14:schemeClr w14:val="tx1"/>
            </w14:solidFill>
          </w14:textFill>
        </w:rPr>
        <w:t>3．</w:t>
      </w:r>
      <w:r>
        <w:rPr>
          <w:rFonts w:hint="eastAsia" w:asciiTheme="majorEastAsia" w:hAnsiTheme="majorEastAsia" w:eastAsiaTheme="majorEastAsia"/>
          <w:b/>
          <w:bCs/>
          <w:color w:val="000000" w:themeColor="text1"/>
          <w:szCs w:val="28"/>
          <w14:textFill>
            <w14:solidFill>
              <w14:schemeClr w14:val="tx1"/>
            </w14:solidFill>
          </w14:textFill>
        </w:rPr>
        <w:t>乡镇通二级公路</w:t>
      </w:r>
    </w:p>
    <w:p>
      <w:pPr>
        <w:spacing w:line="480" w:lineRule="auto"/>
        <w:ind w:firstLine="560" w:firstLineChars="200"/>
        <w:rPr>
          <w:rFonts w:asciiTheme="majorEastAsia" w:hAnsiTheme="majorEastAsia" w:eastAsiaTheme="majorEastAsia"/>
          <w:color w:val="000000" w:themeColor="text1"/>
          <w:szCs w:val="28"/>
          <w14:textFill>
            <w14:solidFill>
              <w14:schemeClr w14:val="tx1"/>
            </w14:solidFill>
          </w14:textFill>
        </w:rPr>
      </w:pPr>
      <w:r>
        <w:rPr>
          <w:rFonts w:hint="eastAsia" w:asciiTheme="majorEastAsia" w:hAnsiTheme="majorEastAsia" w:eastAsiaTheme="majorEastAsia"/>
          <w:color w:val="000000" w:themeColor="text1"/>
          <w:szCs w:val="28"/>
          <w14:textFill>
            <w14:solidFill>
              <w14:schemeClr w14:val="tx1"/>
            </w14:solidFill>
          </w14:textFill>
        </w:rPr>
        <w:t>经估算，“十四五”期六盘水市乡镇通二级公路计划完成的</w:t>
      </w:r>
      <w:r>
        <w:rPr>
          <w:rFonts w:asciiTheme="majorEastAsia" w:hAnsiTheme="majorEastAsia" w:eastAsiaTheme="majorEastAsia"/>
          <w:color w:val="000000" w:themeColor="text1"/>
          <w:szCs w:val="28"/>
          <w14:textFill>
            <w14:solidFill>
              <w14:schemeClr w14:val="tx1"/>
            </w14:solidFill>
          </w14:textFill>
        </w:rPr>
        <w:t>41.60</w:t>
      </w:r>
      <w:r>
        <w:rPr>
          <w:rFonts w:hint="eastAsia" w:asciiTheme="majorEastAsia" w:hAnsiTheme="majorEastAsia" w:eastAsiaTheme="majorEastAsia"/>
          <w:color w:val="000000" w:themeColor="text1"/>
          <w:szCs w:val="28"/>
          <w14:textFill>
            <w14:solidFill>
              <w14:schemeClr w14:val="tx1"/>
            </w14:solidFill>
          </w14:textFill>
        </w:rPr>
        <w:t>亿元中，争取上级补助资金</w:t>
      </w:r>
      <w:r>
        <w:rPr>
          <w:rFonts w:asciiTheme="majorEastAsia" w:hAnsiTheme="majorEastAsia" w:eastAsiaTheme="majorEastAsia"/>
          <w:color w:val="000000" w:themeColor="text1"/>
          <w:szCs w:val="28"/>
          <w14:textFill>
            <w14:solidFill>
              <w14:schemeClr w14:val="tx1"/>
            </w14:solidFill>
          </w14:textFill>
        </w:rPr>
        <w:t>22.59</w:t>
      </w:r>
      <w:r>
        <w:rPr>
          <w:rFonts w:hint="eastAsia" w:asciiTheme="majorEastAsia" w:hAnsiTheme="majorEastAsia" w:eastAsiaTheme="majorEastAsia"/>
          <w:color w:val="000000" w:themeColor="text1"/>
          <w:szCs w:val="28"/>
          <w14:textFill>
            <w14:solidFill>
              <w14:schemeClr w14:val="tx1"/>
            </w14:solidFill>
          </w14:textFill>
        </w:rPr>
        <w:t>亿元左右，地方配套</w:t>
      </w:r>
      <w:r>
        <w:rPr>
          <w:rFonts w:asciiTheme="majorEastAsia" w:hAnsiTheme="majorEastAsia" w:eastAsiaTheme="majorEastAsia"/>
          <w:color w:val="000000" w:themeColor="text1"/>
          <w:szCs w:val="28"/>
          <w14:textFill>
            <w14:solidFill>
              <w14:schemeClr w14:val="tx1"/>
            </w14:solidFill>
          </w14:textFill>
        </w:rPr>
        <w:t>19.01</w:t>
      </w:r>
      <w:r>
        <w:rPr>
          <w:rFonts w:hint="eastAsia" w:asciiTheme="majorEastAsia" w:hAnsiTheme="majorEastAsia" w:eastAsiaTheme="majorEastAsia"/>
          <w:color w:val="000000" w:themeColor="text1"/>
          <w:szCs w:val="28"/>
          <w14:textFill>
            <w14:solidFill>
              <w14:schemeClr w14:val="tx1"/>
            </w14:solidFill>
          </w14:textFill>
        </w:rPr>
        <w:t>亿元。</w:t>
      </w:r>
    </w:p>
    <w:p>
      <w:pPr>
        <w:spacing w:line="480" w:lineRule="auto"/>
        <w:ind w:firstLine="562" w:firstLineChars="200"/>
        <w:rPr>
          <w:b/>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4．省道及农村公路</w:t>
      </w:r>
    </w:p>
    <w:p>
      <w:pPr>
        <w:pStyle w:val="45"/>
        <w:ind w:firstLine="560"/>
        <w:rPr>
          <w:rFonts w:cs="Times New Roman"/>
          <w:color w:val="000000" w:themeColor="text1"/>
          <w:kern w:val="2"/>
          <w:sz w:val="28"/>
          <w:szCs w:val="28"/>
          <w14:textFill>
            <w14:solidFill>
              <w14:schemeClr w14:val="tx1"/>
            </w14:solidFill>
          </w14:textFill>
        </w:rPr>
      </w:pPr>
      <w:r>
        <w:rPr>
          <w:rFonts w:cs="Times New Roman"/>
          <w:color w:val="000000" w:themeColor="text1"/>
          <w:kern w:val="2"/>
          <w:sz w:val="28"/>
          <w:szCs w:val="28"/>
          <w14:textFill>
            <w14:solidFill>
              <w14:schemeClr w14:val="tx1"/>
            </w14:solidFill>
          </w14:textFill>
        </w:rPr>
        <w:t>普通省道、农村公路实行“切块管理、以奖代补”，原则上补助标准不超过同等级普通国道补助标准。</w:t>
      </w:r>
    </w:p>
    <w:p>
      <w:pPr>
        <w:spacing w:line="480" w:lineRule="auto"/>
        <w:ind w:firstLine="562" w:firstLineChars="200"/>
        <w:rPr>
          <w:rFonts w:asciiTheme="majorEastAsia" w:hAnsiTheme="majorEastAsia" w:eastAsiaTheme="majorEastAsia"/>
          <w:b/>
          <w:bCs/>
          <w:color w:val="000000" w:themeColor="text1"/>
          <w:szCs w:val="28"/>
          <w14:textFill>
            <w14:solidFill>
              <w14:schemeClr w14:val="tx1"/>
            </w14:solidFill>
          </w14:textFill>
        </w:rPr>
      </w:pPr>
      <w:r>
        <w:rPr>
          <w:rFonts w:asciiTheme="majorEastAsia" w:hAnsiTheme="majorEastAsia" w:eastAsiaTheme="majorEastAsia"/>
          <w:b/>
          <w:bCs/>
          <w:color w:val="000000" w:themeColor="text1"/>
          <w:szCs w:val="28"/>
          <w14:textFill>
            <w14:solidFill>
              <w14:schemeClr w14:val="tx1"/>
            </w14:solidFill>
          </w14:textFill>
        </w:rPr>
        <w:t>5．枢纽站场</w:t>
      </w:r>
    </w:p>
    <w:p>
      <w:pPr>
        <w:spacing w:line="480" w:lineRule="auto"/>
        <w:ind w:firstLine="560" w:firstLineChars="200"/>
        <w:rPr>
          <w:rFonts w:asciiTheme="majorEastAsia" w:hAnsiTheme="majorEastAsia" w:eastAsiaTheme="majorEastAsia"/>
          <w:color w:val="000000" w:themeColor="text1"/>
          <w:szCs w:val="28"/>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asciiTheme="majorEastAsia" w:hAnsiTheme="majorEastAsia" w:eastAsiaTheme="majorEastAsia"/>
          <w:color w:val="000000" w:themeColor="text1"/>
          <w:szCs w:val="28"/>
          <w14:textFill>
            <w14:solidFill>
              <w14:schemeClr w14:val="tx1"/>
            </w14:solidFill>
          </w14:textFill>
        </w:rPr>
        <w:t>综合客运枢纽和物流园区建设，国家将对纳入交通运输部“十四五”规划的项目给予相应补助，重大项目为15000万元/个，一般项目为7000万元/个，补助资金占项目估算总投资的比例以50%为上限；普通客运站方面，一级客运站1800万元/个，二级客运站800万元/个，三级客运站400万元/个。剩余资金主要依靠市、特区、区自筹解决。</w:t>
      </w:r>
    </w:p>
    <w:p>
      <w:pPr>
        <w:pStyle w:val="2"/>
        <w:jc w:val="both"/>
        <w:rPr>
          <w:rFonts w:asciiTheme="majorEastAsia" w:hAnsiTheme="majorEastAsia" w:eastAsiaTheme="majorEastAsia"/>
        </w:rPr>
      </w:pPr>
      <w:bookmarkStart w:id="973" w:name="_Toc89102203"/>
      <w:bookmarkStart w:id="974" w:name="_Hlk76993802"/>
      <w:r>
        <w:rPr>
          <w:rFonts w:asciiTheme="majorEastAsia" w:hAnsiTheme="majorEastAsia" w:eastAsiaTheme="majorEastAsia"/>
        </w:rPr>
        <w:t>第</w:t>
      </w:r>
      <w:r>
        <w:rPr>
          <w:rFonts w:hint="eastAsia" w:asciiTheme="majorEastAsia" w:hAnsiTheme="majorEastAsia" w:eastAsiaTheme="majorEastAsia"/>
        </w:rPr>
        <w:t>六</w:t>
      </w:r>
      <w:r>
        <w:rPr>
          <w:rFonts w:asciiTheme="majorEastAsia" w:hAnsiTheme="majorEastAsia" w:eastAsiaTheme="majorEastAsia"/>
        </w:rPr>
        <w:t xml:space="preserve">章 </w:t>
      </w:r>
      <w:r>
        <w:rPr>
          <w:rFonts w:hint="eastAsia" w:asciiTheme="majorEastAsia" w:hAnsiTheme="majorEastAsia" w:eastAsiaTheme="majorEastAsia"/>
        </w:rPr>
        <w:t>环境影响评价</w:t>
      </w:r>
      <w:bookmarkEnd w:id="973"/>
    </w:p>
    <w:p>
      <w:pPr>
        <w:ind w:firstLine="560" w:firstLineChars="200"/>
      </w:pPr>
      <w:r>
        <w:rPr>
          <w:rFonts w:hint="eastAsia"/>
        </w:rPr>
        <w:t>党的十九届五中全会通过的《中共中央关于制定国民经济和社会发展第十四个五年规划和二〇三五年远景目标的建议》(以下简称《建议》)，为编制“十四五”规划提供了方向指引和遵循。《建议》对生态环境保护要求非常明确，就“推动绿色发展，促进人与自然和谐共生”提出明确要求</w:t>
      </w:r>
      <w:r>
        <w:t>。</w:t>
      </w:r>
      <w:r>
        <w:rPr>
          <w:rFonts w:hint="eastAsia"/>
        </w:rPr>
        <w:t>规划在实施过程中需要深入实施可持续发展战略，完善生态文明领域统筹协调机制，构建生态文明体系，促进经济社会发展全面绿色转型，建设人与自然和谐共生的现代化。</w:t>
      </w:r>
    </w:p>
    <w:p>
      <w:pPr>
        <w:ind w:firstLine="560" w:firstLineChars="200"/>
      </w:pPr>
      <w:r>
        <w:rPr>
          <w:rFonts w:hint="eastAsia"/>
        </w:rPr>
        <w:t>环境影响评价是“十四五”交通运输发展规划的功能定位、规划规模和布局的先进性、科学性、合理性的直接反映，是交通发展规划对资源，特别是环境资源、线位和岸线资源利用是否合理、科学，是否符合区域发展水平的定量要求，为决策提供信息支持。</w:t>
      </w:r>
    </w:p>
    <w:p>
      <w:pPr>
        <w:pStyle w:val="3"/>
        <w:rPr>
          <w:rFonts w:asciiTheme="majorEastAsia" w:hAnsiTheme="majorEastAsia" w:eastAsiaTheme="majorEastAsia"/>
        </w:rPr>
      </w:pPr>
      <w:bookmarkStart w:id="975" w:name="_Toc30341"/>
      <w:bookmarkStart w:id="976" w:name="_Toc459282387"/>
      <w:bookmarkStart w:id="977" w:name="_Toc89102204"/>
      <w:r>
        <w:rPr>
          <w:rFonts w:asciiTheme="majorEastAsia" w:hAnsiTheme="majorEastAsia" w:eastAsiaTheme="majorEastAsia"/>
        </w:rPr>
        <w:t>6.1对环境的影响</w:t>
      </w:r>
      <w:bookmarkEnd w:id="975"/>
      <w:bookmarkEnd w:id="976"/>
      <w:bookmarkEnd w:id="977"/>
    </w:p>
    <w:p>
      <w:pPr>
        <w:spacing w:line="480" w:lineRule="auto"/>
        <w:ind w:firstLine="562" w:firstLineChars="200"/>
        <w:rPr>
          <w:rFonts w:asciiTheme="majorEastAsia" w:hAnsiTheme="majorEastAsia" w:eastAsiaTheme="majorEastAsia"/>
          <w:b/>
          <w:bCs/>
          <w:color w:val="000000" w:themeColor="text1"/>
          <w:szCs w:val="28"/>
          <w14:textFill>
            <w14:solidFill>
              <w14:schemeClr w14:val="tx1"/>
            </w14:solidFill>
          </w14:textFill>
        </w:rPr>
      </w:pPr>
      <w:r>
        <w:rPr>
          <w:rFonts w:asciiTheme="majorEastAsia" w:hAnsiTheme="majorEastAsia" w:eastAsiaTheme="majorEastAsia"/>
          <w:b/>
          <w:bCs/>
          <w:color w:val="000000" w:themeColor="text1"/>
          <w:szCs w:val="28"/>
          <w14:textFill>
            <w14:solidFill>
              <w14:schemeClr w14:val="tx1"/>
            </w14:solidFill>
          </w14:textFill>
        </w:rPr>
        <w:t>（1）</w:t>
      </w:r>
      <w:bookmarkStart w:id="978" w:name="_Toc164600412"/>
      <w:r>
        <w:rPr>
          <w:rFonts w:asciiTheme="majorEastAsia" w:hAnsiTheme="majorEastAsia" w:eastAsiaTheme="majorEastAsia"/>
          <w:b/>
          <w:bCs/>
          <w:color w:val="000000" w:themeColor="text1"/>
          <w:szCs w:val="28"/>
          <w14:textFill>
            <w14:solidFill>
              <w14:schemeClr w14:val="tx1"/>
            </w14:solidFill>
          </w14:textFill>
        </w:rPr>
        <w:t>生</w:t>
      </w:r>
      <w:r>
        <w:rPr>
          <w:rFonts w:hint="eastAsia" w:asciiTheme="majorEastAsia" w:hAnsiTheme="majorEastAsia" w:eastAsiaTheme="majorEastAsia"/>
          <w:b/>
          <w:bCs/>
          <w:color w:val="000000" w:themeColor="text1"/>
          <w:szCs w:val="28"/>
          <w14:textFill>
            <w14:solidFill>
              <w14:schemeClr w14:val="tx1"/>
            </w14:solidFill>
          </w14:textFill>
        </w:rPr>
        <w:t>态</w:t>
      </w:r>
      <w:r>
        <w:rPr>
          <w:rFonts w:asciiTheme="majorEastAsia" w:hAnsiTheme="majorEastAsia" w:eastAsiaTheme="majorEastAsia"/>
          <w:b/>
          <w:bCs/>
          <w:color w:val="000000" w:themeColor="text1"/>
          <w:szCs w:val="28"/>
          <w14:textFill>
            <w14:solidFill>
              <w14:schemeClr w14:val="tx1"/>
            </w14:solidFill>
          </w14:textFill>
        </w:rPr>
        <w:t>环境影响</w:t>
      </w:r>
      <w:bookmarkEnd w:id="978"/>
    </w:p>
    <w:p>
      <w:pPr>
        <w:spacing w:line="480" w:lineRule="auto"/>
        <w:ind w:firstLine="560" w:firstLineChars="200"/>
        <w:rPr>
          <w:rFonts w:asciiTheme="majorEastAsia" w:hAnsiTheme="majorEastAsia" w:eastAsiaTheme="majorEastAsia"/>
          <w:color w:val="000000" w:themeColor="text1"/>
          <w:szCs w:val="28"/>
          <w14:textFill>
            <w14:solidFill>
              <w14:schemeClr w14:val="tx1"/>
            </w14:solidFill>
          </w14:textFill>
        </w:rPr>
      </w:pPr>
      <w:r>
        <w:rPr>
          <w:rFonts w:hint="eastAsia" w:asciiTheme="majorEastAsia" w:hAnsiTheme="majorEastAsia" w:eastAsiaTheme="majorEastAsia"/>
          <w:color w:val="000000" w:themeColor="text1"/>
          <w:szCs w:val="28"/>
          <w14:textFill>
            <w14:solidFill>
              <w14:schemeClr w14:val="tx1"/>
            </w14:solidFill>
          </w14:textFill>
        </w:rPr>
        <w:t>若公路穿越自然保护区等生态敏感点，可通过选址选线时的方案优化实现对生态环境敏感点的有效避让，或采取对生态环境影响较小的工程形式。</w:t>
      </w:r>
    </w:p>
    <w:p>
      <w:pPr>
        <w:spacing w:line="480" w:lineRule="auto"/>
        <w:ind w:firstLine="562" w:firstLineChars="200"/>
        <w:rPr>
          <w:rFonts w:asciiTheme="majorEastAsia" w:hAnsiTheme="majorEastAsia" w:eastAsiaTheme="majorEastAsia"/>
          <w:b/>
          <w:bCs/>
          <w:color w:val="000000" w:themeColor="text1"/>
          <w:szCs w:val="28"/>
          <w14:textFill>
            <w14:solidFill>
              <w14:schemeClr w14:val="tx1"/>
            </w14:solidFill>
          </w14:textFill>
        </w:rPr>
      </w:pPr>
      <w:r>
        <w:rPr>
          <w:rFonts w:asciiTheme="majorEastAsia" w:hAnsiTheme="majorEastAsia" w:eastAsiaTheme="majorEastAsia"/>
          <w:b/>
          <w:bCs/>
          <w:color w:val="000000" w:themeColor="text1"/>
          <w:szCs w:val="28"/>
          <w14:textFill>
            <w14:solidFill>
              <w14:schemeClr w14:val="tx1"/>
            </w14:solidFill>
          </w14:textFill>
        </w:rPr>
        <w:t>（2）</w:t>
      </w:r>
      <w:r>
        <w:rPr>
          <w:rFonts w:hint="eastAsia" w:asciiTheme="majorEastAsia" w:hAnsiTheme="majorEastAsia" w:eastAsiaTheme="majorEastAsia"/>
          <w:b/>
          <w:bCs/>
          <w:color w:val="000000" w:themeColor="text1"/>
          <w:szCs w:val="28"/>
          <w14:textFill>
            <w14:solidFill>
              <w14:schemeClr w14:val="tx1"/>
            </w14:solidFill>
          </w14:textFill>
        </w:rPr>
        <w:t>土地资源环境影响</w:t>
      </w:r>
    </w:p>
    <w:p>
      <w:pPr>
        <w:spacing w:line="480" w:lineRule="auto"/>
        <w:ind w:firstLine="560" w:firstLineChars="200"/>
        <w:rPr>
          <w:rFonts w:asciiTheme="majorEastAsia" w:hAnsiTheme="majorEastAsia" w:eastAsiaTheme="majorEastAsia"/>
          <w:color w:val="000000" w:themeColor="text1"/>
          <w:szCs w:val="28"/>
          <w14:textFill>
            <w14:solidFill>
              <w14:schemeClr w14:val="tx1"/>
            </w14:solidFill>
          </w14:textFill>
        </w:rPr>
      </w:pPr>
      <w:r>
        <w:rPr>
          <w:rFonts w:hint="eastAsia" w:asciiTheme="majorEastAsia" w:hAnsiTheme="majorEastAsia" w:eastAsiaTheme="majorEastAsia"/>
          <w:color w:val="000000" w:themeColor="text1"/>
          <w:szCs w:val="28"/>
          <w14:textFill>
            <w14:solidFill>
              <w14:schemeClr w14:val="tx1"/>
            </w14:solidFill>
          </w14:textFill>
        </w:rPr>
        <w:t>交通项目建设将不可避免地占用土地资源，存在一定的用地压力，但总体仍在可接受的规模内，实施过程中还需要采取廊道综合利用和多种工程措施进一步强化节约集约利用水平。</w:t>
      </w:r>
    </w:p>
    <w:p>
      <w:pPr>
        <w:spacing w:line="480" w:lineRule="auto"/>
        <w:ind w:firstLine="562" w:firstLineChars="200"/>
        <w:rPr>
          <w:rFonts w:asciiTheme="majorEastAsia" w:hAnsiTheme="majorEastAsia" w:eastAsiaTheme="majorEastAsia"/>
          <w:b/>
          <w:bCs/>
          <w:color w:val="000000" w:themeColor="text1"/>
          <w:szCs w:val="28"/>
          <w14:textFill>
            <w14:solidFill>
              <w14:schemeClr w14:val="tx1"/>
            </w14:solidFill>
          </w14:textFill>
        </w:rPr>
      </w:pPr>
      <w:bookmarkStart w:id="979" w:name="_Toc164600413"/>
      <w:r>
        <w:rPr>
          <w:rFonts w:asciiTheme="majorEastAsia" w:hAnsiTheme="majorEastAsia" w:eastAsiaTheme="majorEastAsia"/>
          <w:b/>
          <w:bCs/>
          <w:color w:val="000000" w:themeColor="text1"/>
          <w:szCs w:val="28"/>
          <w14:textFill>
            <w14:solidFill>
              <w14:schemeClr w14:val="tx1"/>
            </w14:solidFill>
          </w14:textFill>
        </w:rPr>
        <w:t>（3）水环境影响</w:t>
      </w:r>
      <w:bookmarkEnd w:id="979"/>
    </w:p>
    <w:p>
      <w:pPr>
        <w:spacing w:line="480" w:lineRule="auto"/>
        <w:ind w:firstLine="560" w:firstLineChars="200"/>
        <w:rPr>
          <w:rFonts w:asciiTheme="majorEastAsia" w:hAnsiTheme="majorEastAsia" w:eastAsiaTheme="majorEastAsia"/>
          <w:color w:val="000000" w:themeColor="text1"/>
          <w:szCs w:val="28"/>
          <w14:textFill>
            <w14:solidFill>
              <w14:schemeClr w14:val="tx1"/>
            </w14:solidFill>
          </w14:textFill>
        </w:rPr>
      </w:pPr>
      <w:r>
        <w:rPr>
          <w:rFonts w:hint="eastAsia" w:asciiTheme="majorEastAsia" w:hAnsiTheme="majorEastAsia" w:eastAsiaTheme="majorEastAsia"/>
          <w:color w:val="000000" w:themeColor="text1"/>
          <w:szCs w:val="28"/>
          <w14:textFill>
            <w14:solidFill>
              <w14:schemeClr w14:val="tx1"/>
            </w14:solidFill>
          </w14:textFill>
        </w:rPr>
        <w:t>公路建设过程中，不仅会破坏水土保持设施，而且还经常诱发塌方、滑坡等地质灾害,特别是弃渣弃土倾泻到河道里，妨碍行洪，污染水质，而且还为山洪、泥石流的形成储备了物质条件。</w:t>
      </w:r>
      <w:bookmarkStart w:id="980" w:name="_Toc164600414"/>
      <w:r>
        <w:rPr>
          <w:rFonts w:hint="eastAsia" w:asciiTheme="majorEastAsia" w:hAnsiTheme="majorEastAsia" w:eastAsiaTheme="majorEastAsia"/>
          <w:color w:val="000000" w:themeColor="text1"/>
          <w:szCs w:val="28"/>
          <w14:textFill>
            <w14:solidFill>
              <w14:schemeClr w14:val="tx1"/>
            </w14:solidFill>
          </w14:textFill>
        </w:rPr>
        <w:t>但妥善处理之后总体影响不大，需引起高度重视，严格控制污染物排放，避让自然保护区和水产种质资源保护区，切实加强重要水域的生态环境风险防控。</w:t>
      </w:r>
    </w:p>
    <w:p>
      <w:pPr>
        <w:spacing w:line="480" w:lineRule="auto"/>
        <w:ind w:firstLine="562" w:firstLineChars="200"/>
        <w:rPr>
          <w:rFonts w:asciiTheme="majorEastAsia" w:hAnsiTheme="majorEastAsia" w:eastAsiaTheme="majorEastAsia"/>
          <w:b/>
          <w:bCs/>
          <w:color w:val="000000" w:themeColor="text1"/>
          <w:szCs w:val="28"/>
          <w14:textFill>
            <w14:solidFill>
              <w14:schemeClr w14:val="tx1"/>
            </w14:solidFill>
          </w14:textFill>
        </w:rPr>
      </w:pPr>
      <w:r>
        <w:rPr>
          <w:rFonts w:asciiTheme="majorEastAsia" w:hAnsiTheme="majorEastAsia" w:eastAsiaTheme="majorEastAsia"/>
          <w:b/>
          <w:bCs/>
          <w:color w:val="000000" w:themeColor="text1"/>
          <w:szCs w:val="28"/>
          <w14:textFill>
            <w14:solidFill>
              <w14:schemeClr w14:val="tx1"/>
            </w14:solidFill>
          </w14:textFill>
        </w:rPr>
        <w:t>（4）</w:t>
      </w:r>
      <w:r>
        <w:rPr>
          <w:rFonts w:hint="eastAsia" w:asciiTheme="majorEastAsia" w:hAnsiTheme="majorEastAsia" w:eastAsiaTheme="majorEastAsia"/>
          <w:b/>
          <w:bCs/>
          <w:color w:val="000000" w:themeColor="text1"/>
          <w:szCs w:val="28"/>
          <w14:textFill>
            <w14:solidFill>
              <w14:schemeClr w14:val="tx1"/>
            </w14:solidFill>
          </w14:textFill>
        </w:rPr>
        <w:t>地质灾害多发地带</w:t>
      </w:r>
    </w:p>
    <w:p>
      <w:pPr>
        <w:spacing w:line="480" w:lineRule="auto"/>
        <w:ind w:firstLine="560" w:firstLineChars="200"/>
        <w:rPr>
          <w:rFonts w:asciiTheme="majorEastAsia" w:hAnsiTheme="majorEastAsia" w:eastAsiaTheme="majorEastAsia"/>
          <w:color w:val="000000" w:themeColor="text1"/>
          <w:szCs w:val="28"/>
          <w14:textFill>
            <w14:solidFill>
              <w14:schemeClr w14:val="tx1"/>
            </w14:solidFill>
          </w14:textFill>
        </w:rPr>
      </w:pPr>
      <w:r>
        <w:rPr>
          <w:rFonts w:hint="eastAsia" w:asciiTheme="majorEastAsia" w:hAnsiTheme="majorEastAsia" w:eastAsiaTheme="majorEastAsia"/>
          <w:color w:val="000000" w:themeColor="text1"/>
          <w:szCs w:val="28"/>
          <w14:textFill>
            <w14:solidFill>
              <w14:schemeClr w14:val="tx1"/>
            </w14:solidFill>
          </w14:textFill>
        </w:rPr>
        <w:t>六盘水是贵州省崩塌、滑坡、泥石流、地面沉陷等地质灾害很严重的地区之一。根据有关资料显示，全市查明地质灾害隐患点共计806处，地质灾害隐患呈现点多面广、易发突发、多发群发的特点。加之近年来不合理的人类生产活动加大了地质灾害的隐患。</w:t>
      </w:r>
    </w:p>
    <w:p>
      <w:pPr>
        <w:spacing w:line="480" w:lineRule="auto"/>
        <w:ind w:firstLine="560" w:firstLineChars="200"/>
        <w:rPr>
          <w:rFonts w:asciiTheme="majorEastAsia" w:hAnsiTheme="majorEastAsia" w:eastAsiaTheme="majorEastAsia"/>
          <w:color w:val="000000" w:themeColor="text1"/>
          <w:szCs w:val="28"/>
          <w14:textFill>
            <w14:solidFill>
              <w14:schemeClr w14:val="tx1"/>
            </w14:solidFill>
          </w14:textFill>
        </w:rPr>
      </w:pPr>
      <w:r>
        <w:rPr>
          <w:rFonts w:hint="eastAsia" w:asciiTheme="majorEastAsia" w:hAnsiTheme="majorEastAsia" w:eastAsiaTheme="majorEastAsia"/>
          <w:color w:val="000000" w:themeColor="text1"/>
          <w:szCs w:val="28"/>
          <w14:textFill>
            <w14:solidFill>
              <w14:schemeClr w14:val="tx1"/>
            </w14:solidFill>
          </w14:textFill>
        </w:rPr>
        <w:t>本评价要求，在具体项目设计阶段，以“预防为主、治理结合”为思路，结合相应区域的地质灾害防治工作规划，识别“十四五”规划中具体项目线路走向可能涉及的区域，优化设计，合理避让，降低影响。加大施工过程中施工质量的监管，保障地质灾害防御设施的落实。</w:t>
      </w:r>
    </w:p>
    <w:p>
      <w:pPr>
        <w:spacing w:line="480" w:lineRule="auto"/>
        <w:ind w:firstLine="562" w:firstLineChars="200"/>
        <w:rPr>
          <w:rFonts w:asciiTheme="majorEastAsia" w:hAnsiTheme="majorEastAsia" w:eastAsiaTheme="majorEastAsia"/>
          <w:b/>
          <w:bCs/>
          <w:color w:val="000000" w:themeColor="text1"/>
          <w:szCs w:val="28"/>
          <w14:textFill>
            <w14:solidFill>
              <w14:schemeClr w14:val="tx1"/>
            </w14:solidFill>
          </w14:textFill>
        </w:rPr>
      </w:pPr>
      <w:r>
        <w:rPr>
          <w:rFonts w:asciiTheme="majorEastAsia" w:hAnsiTheme="majorEastAsia" w:eastAsiaTheme="majorEastAsia"/>
          <w:b/>
          <w:bCs/>
          <w:color w:val="000000" w:themeColor="text1"/>
          <w:szCs w:val="28"/>
          <w14:textFill>
            <w14:solidFill>
              <w14:schemeClr w14:val="tx1"/>
            </w14:solidFill>
          </w14:textFill>
        </w:rPr>
        <w:t>（5）</w:t>
      </w:r>
      <w:bookmarkEnd w:id="980"/>
      <w:r>
        <w:rPr>
          <w:rFonts w:hint="eastAsia" w:asciiTheme="majorEastAsia" w:hAnsiTheme="majorEastAsia" w:eastAsiaTheme="majorEastAsia"/>
          <w:b/>
          <w:bCs/>
          <w:color w:val="000000" w:themeColor="text1"/>
          <w:szCs w:val="28"/>
          <w14:textFill>
            <w14:solidFill>
              <w14:schemeClr w14:val="tx1"/>
            </w14:solidFill>
          </w14:textFill>
        </w:rPr>
        <w:t>大气环境影响</w:t>
      </w:r>
    </w:p>
    <w:p>
      <w:pPr>
        <w:spacing w:line="480" w:lineRule="auto"/>
        <w:ind w:firstLine="560" w:firstLineChars="200"/>
        <w:rPr>
          <w:rFonts w:asciiTheme="majorEastAsia" w:hAnsiTheme="majorEastAsia" w:eastAsiaTheme="majorEastAsia"/>
          <w:color w:val="000000" w:themeColor="text1"/>
          <w:szCs w:val="28"/>
          <w14:textFill>
            <w14:solidFill>
              <w14:schemeClr w14:val="tx1"/>
            </w14:solidFill>
          </w14:textFill>
        </w:rPr>
      </w:pPr>
      <w:r>
        <w:rPr>
          <w:rFonts w:hint="eastAsia" w:asciiTheme="majorEastAsia" w:hAnsiTheme="majorEastAsia" w:eastAsiaTheme="majorEastAsia"/>
          <w:color w:val="000000" w:themeColor="text1"/>
          <w:szCs w:val="28"/>
          <w14:textFill>
            <w14:solidFill>
              <w14:schemeClr w14:val="tx1"/>
            </w14:solidFill>
          </w14:textFill>
        </w:rPr>
        <w:t>公路项目建设过程中会产生尘埃散到周围环境空气中，车辆、船舶运行时排放的SO</w:t>
      </w:r>
      <w:r>
        <w:rPr>
          <w:rFonts w:hint="eastAsia" w:asciiTheme="majorEastAsia" w:hAnsiTheme="majorEastAsia" w:eastAsiaTheme="majorEastAsia"/>
          <w:color w:val="000000" w:themeColor="text1"/>
          <w:szCs w:val="28"/>
          <w:vertAlign w:val="subscript"/>
          <w14:textFill>
            <w14:solidFill>
              <w14:schemeClr w14:val="tx1"/>
            </w14:solidFill>
          </w14:textFill>
        </w:rPr>
        <w:t>2</w:t>
      </w:r>
      <w:r>
        <w:rPr>
          <w:rFonts w:hint="eastAsia" w:asciiTheme="majorEastAsia" w:hAnsiTheme="majorEastAsia" w:eastAsiaTheme="majorEastAsia"/>
          <w:color w:val="000000" w:themeColor="text1"/>
          <w:szCs w:val="28"/>
          <w14:textFill>
            <w14:solidFill>
              <w14:schemeClr w14:val="tx1"/>
            </w14:solidFill>
          </w14:textFill>
        </w:rPr>
        <w:t>、氮氧化物、颗粒物等对空气造成一定的污染。考虑到未来交通运输装备排放标准将更加严格，单位排放强度不断降低，交通排放总量将会进一步大幅削减，总体大气污染排放影响较小。</w:t>
      </w:r>
    </w:p>
    <w:p>
      <w:pPr>
        <w:spacing w:line="480" w:lineRule="auto"/>
        <w:ind w:firstLine="562" w:firstLineChars="200"/>
        <w:rPr>
          <w:rFonts w:asciiTheme="majorEastAsia" w:hAnsiTheme="majorEastAsia" w:eastAsiaTheme="majorEastAsia"/>
          <w:b/>
          <w:bCs/>
          <w:color w:val="000000" w:themeColor="text1"/>
          <w:szCs w:val="28"/>
          <w14:textFill>
            <w14:solidFill>
              <w14:schemeClr w14:val="tx1"/>
            </w14:solidFill>
          </w14:textFill>
        </w:rPr>
      </w:pPr>
      <w:r>
        <w:rPr>
          <w:rFonts w:asciiTheme="majorEastAsia" w:hAnsiTheme="majorEastAsia" w:eastAsiaTheme="majorEastAsia"/>
          <w:b/>
          <w:bCs/>
          <w:color w:val="000000" w:themeColor="text1"/>
          <w:szCs w:val="28"/>
          <w14:textFill>
            <w14:solidFill>
              <w14:schemeClr w14:val="tx1"/>
            </w14:solidFill>
          </w14:textFill>
        </w:rPr>
        <w:t>（6）</w:t>
      </w:r>
      <w:r>
        <w:rPr>
          <w:rFonts w:hint="eastAsia" w:asciiTheme="majorEastAsia" w:hAnsiTheme="majorEastAsia" w:eastAsiaTheme="majorEastAsia"/>
          <w:b/>
          <w:bCs/>
          <w:color w:val="000000" w:themeColor="text1"/>
          <w:szCs w:val="28"/>
          <w14:textFill>
            <w14:solidFill>
              <w14:schemeClr w14:val="tx1"/>
            </w14:solidFill>
          </w14:textFill>
        </w:rPr>
        <w:t>噪声环境影响</w:t>
      </w:r>
    </w:p>
    <w:p>
      <w:pPr>
        <w:spacing w:line="480" w:lineRule="auto"/>
        <w:ind w:firstLine="560" w:firstLineChars="200"/>
        <w:rPr>
          <w:rFonts w:asciiTheme="majorEastAsia" w:hAnsiTheme="majorEastAsia" w:eastAsiaTheme="majorEastAsia"/>
          <w:color w:val="000000" w:themeColor="text1"/>
          <w:szCs w:val="28"/>
          <w14:textFill>
            <w14:solidFill>
              <w14:schemeClr w14:val="tx1"/>
            </w14:solidFill>
          </w14:textFill>
        </w:rPr>
      </w:pPr>
      <w:r>
        <w:rPr>
          <w:rFonts w:hint="eastAsia" w:asciiTheme="majorEastAsia" w:hAnsiTheme="majorEastAsia" w:eastAsiaTheme="majorEastAsia"/>
          <w:color w:val="000000" w:themeColor="text1"/>
          <w:szCs w:val="28"/>
          <w14:textFill>
            <w14:solidFill>
              <w14:schemeClr w14:val="tx1"/>
            </w14:solidFill>
          </w14:textFill>
        </w:rPr>
        <w:t>施工期公路主体工程以及施工便道、取土场、拌合站等噪声主要来源于施工机械和运输车辆。运营期的车辆、船舶都将产生一定噪声。但在考虑选线避让、和防噪设施有效性等后，规划实施引起的噪声环境影响较小。</w:t>
      </w:r>
    </w:p>
    <w:p>
      <w:pPr>
        <w:pStyle w:val="3"/>
        <w:rPr>
          <w:rFonts w:asciiTheme="majorEastAsia" w:hAnsiTheme="majorEastAsia" w:eastAsiaTheme="majorEastAsia"/>
        </w:rPr>
      </w:pPr>
      <w:bookmarkStart w:id="981" w:name="_Toc7910"/>
      <w:bookmarkStart w:id="982" w:name="_Toc89102205"/>
      <w:r>
        <w:rPr>
          <w:rFonts w:asciiTheme="majorEastAsia" w:hAnsiTheme="majorEastAsia" w:eastAsiaTheme="majorEastAsia"/>
        </w:rPr>
        <w:t>6</w:t>
      </w:r>
      <w:r>
        <w:rPr>
          <w:rFonts w:hint="eastAsia" w:asciiTheme="majorEastAsia" w:hAnsiTheme="majorEastAsia" w:eastAsiaTheme="majorEastAsia"/>
        </w:rPr>
        <w:t>.2规划环境合理性分析</w:t>
      </w:r>
      <w:bookmarkEnd w:id="981"/>
      <w:bookmarkEnd w:id="982"/>
    </w:p>
    <w:p>
      <w:pPr>
        <w:spacing w:line="480" w:lineRule="auto"/>
        <w:ind w:firstLine="560" w:firstLineChars="200"/>
        <w:rPr>
          <w:rFonts w:asciiTheme="majorEastAsia" w:hAnsiTheme="majorEastAsia" w:eastAsiaTheme="majorEastAsia"/>
          <w:color w:val="000000" w:themeColor="text1"/>
          <w:szCs w:val="28"/>
          <w14:textFill>
            <w14:solidFill>
              <w14:schemeClr w14:val="tx1"/>
            </w14:solidFill>
          </w14:textFill>
        </w:rPr>
      </w:pPr>
      <w:r>
        <w:rPr>
          <w:rFonts w:hint="eastAsia" w:asciiTheme="majorEastAsia" w:hAnsiTheme="majorEastAsia" w:eastAsiaTheme="majorEastAsia"/>
          <w:color w:val="000000" w:themeColor="text1"/>
          <w:szCs w:val="28"/>
          <w14:textFill>
            <w14:solidFill>
              <w14:schemeClr w14:val="tx1"/>
            </w14:solidFill>
          </w14:textFill>
        </w:rPr>
        <w:t>本次规划涵盖公路、水运等交通方式，强化各方式有机衔接、优势互补和融合发展，有助于资源节约使用和能源利用的提高，总体有助于改善环境质量，维护生态系统良性发展。</w:t>
      </w:r>
    </w:p>
    <w:p>
      <w:pPr>
        <w:spacing w:line="480" w:lineRule="auto"/>
        <w:ind w:firstLine="560" w:firstLineChars="200"/>
        <w:rPr>
          <w:rFonts w:asciiTheme="majorEastAsia" w:hAnsiTheme="majorEastAsia" w:eastAsiaTheme="majorEastAsia"/>
          <w:color w:val="000000" w:themeColor="text1"/>
          <w:szCs w:val="28"/>
          <w14:textFill>
            <w14:solidFill>
              <w14:schemeClr w14:val="tx1"/>
            </w14:solidFill>
          </w14:textFill>
        </w:rPr>
      </w:pPr>
      <w:r>
        <w:rPr>
          <w:rFonts w:hint="eastAsia" w:asciiTheme="majorEastAsia" w:hAnsiTheme="majorEastAsia" w:eastAsiaTheme="majorEastAsia"/>
          <w:color w:val="000000" w:themeColor="text1"/>
          <w:szCs w:val="28"/>
          <w14:textFill>
            <w14:solidFill>
              <w14:schemeClr w14:val="tx1"/>
            </w14:solidFill>
          </w14:textFill>
        </w:rPr>
        <w:t>规划提出坚持推进绿色交通建设，加强生态环境保护，减少对生态脆弱区、环境敏感区的破坏，通过局部线路调整、环境补偿等措施避免或减少对自然保护区等生态敏感区以及其他环境敏感目标的影响。</w:t>
      </w:r>
    </w:p>
    <w:p>
      <w:pPr>
        <w:pStyle w:val="3"/>
        <w:rPr>
          <w:rFonts w:asciiTheme="majorEastAsia" w:hAnsiTheme="majorEastAsia" w:eastAsiaTheme="majorEastAsia"/>
        </w:rPr>
      </w:pPr>
      <w:bookmarkStart w:id="983" w:name="_Toc459282388"/>
      <w:bookmarkStart w:id="984" w:name="_Toc8743"/>
      <w:bookmarkStart w:id="985" w:name="_Toc89102206"/>
      <w:r>
        <w:rPr>
          <w:rFonts w:asciiTheme="majorEastAsia" w:hAnsiTheme="majorEastAsia" w:eastAsiaTheme="majorEastAsia"/>
        </w:rPr>
        <w:t>6.</w:t>
      </w:r>
      <w:r>
        <w:rPr>
          <w:rFonts w:hint="eastAsia" w:asciiTheme="majorEastAsia" w:hAnsiTheme="majorEastAsia" w:eastAsiaTheme="majorEastAsia"/>
        </w:rPr>
        <w:t>3</w:t>
      </w:r>
      <w:r>
        <w:rPr>
          <w:rFonts w:asciiTheme="majorEastAsia" w:hAnsiTheme="majorEastAsia" w:eastAsiaTheme="majorEastAsia"/>
        </w:rPr>
        <w:t>减缓环境影响的建议</w:t>
      </w:r>
      <w:bookmarkEnd w:id="983"/>
      <w:bookmarkEnd w:id="984"/>
      <w:bookmarkEnd w:id="985"/>
    </w:p>
    <w:p>
      <w:pPr>
        <w:spacing w:line="480" w:lineRule="auto"/>
        <w:ind w:firstLine="560" w:firstLineChars="200"/>
        <w:rPr>
          <w:rFonts w:asciiTheme="majorEastAsia" w:hAnsiTheme="majorEastAsia" w:eastAsiaTheme="majorEastAsia"/>
          <w:color w:val="000000" w:themeColor="text1"/>
          <w:szCs w:val="28"/>
          <w14:textFill>
            <w14:solidFill>
              <w14:schemeClr w14:val="tx1"/>
            </w14:solidFill>
          </w14:textFill>
        </w:rPr>
      </w:pPr>
      <w:r>
        <w:rPr>
          <w:rFonts w:hint="eastAsia" w:asciiTheme="majorEastAsia" w:hAnsiTheme="majorEastAsia" w:eastAsiaTheme="majorEastAsia"/>
          <w:color w:val="000000" w:themeColor="text1"/>
          <w:szCs w:val="28"/>
          <w14:textFill>
            <w14:solidFill>
              <w14:schemeClr w14:val="tx1"/>
            </w14:solidFill>
          </w14:textFill>
        </w:rPr>
        <w:t>（1）</w:t>
      </w:r>
      <w:r>
        <w:rPr>
          <w:rFonts w:asciiTheme="majorEastAsia" w:hAnsiTheme="majorEastAsia" w:eastAsiaTheme="majorEastAsia"/>
          <w:color w:val="000000" w:themeColor="text1"/>
          <w:szCs w:val="28"/>
          <w14:textFill>
            <w14:solidFill>
              <w14:schemeClr w14:val="tx1"/>
            </w14:solidFill>
          </w14:textFill>
        </w:rPr>
        <w:t>遵循“近城而不进城，利民而不扰民”及优化线形的原则下，少占农田、少拆房屋，远离水源，保护自然资源，使居民生活受到的影响减少到最低程度，本着</w:t>
      </w:r>
      <w:r>
        <w:rPr>
          <w:rFonts w:hint="eastAsia" w:asciiTheme="majorEastAsia" w:hAnsiTheme="majorEastAsia" w:eastAsiaTheme="majorEastAsia"/>
          <w:color w:val="000000" w:themeColor="text1"/>
          <w:szCs w:val="28"/>
          <w14:textFill>
            <w14:solidFill>
              <w14:schemeClr w14:val="tx1"/>
            </w14:solidFill>
          </w14:textFill>
        </w:rPr>
        <w:t>对</w:t>
      </w:r>
      <w:r>
        <w:rPr>
          <w:rFonts w:asciiTheme="majorEastAsia" w:hAnsiTheme="majorEastAsia" w:eastAsiaTheme="majorEastAsia"/>
          <w:color w:val="000000" w:themeColor="text1"/>
          <w:szCs w:val="28"/>
          <w14:textFill>
            <w14:solidFill>
              <w14:schemeClr w14:val="tx1"/>
            </w14:solidFill>
          </w14:textFill>
        </w:rPr>
        <w:t>生态环境</w:t>
      </w:r>
      <w:r>
        <w:rPr>
          <w:rFonts w:hint="eastAsia" w:asciiTheme="majorEastAsia" w:hAnsiTheme="majorEastAsia" w:eastAsiaTheme="majorEastAsia"/>
          <w:color w:val="000000" w:themeColor="text1"/>
          <w:szCs w:val="28"/>
          <w14:textFill>
            <w14:solidFill>
              <w14:schemeClr w14:val="tx1"/>
            </w14:solidFill>
          </w14:textFill>
        </w:rPr>
        <w:t>影响最小以及改善</w:t>
      </w:r>
      <w:r>
        <w:rPr>
          <w:rFonts w:asciiTheme="majorEastAsia" w:hAnsiTheme="majorEastAsia" w:eastAsiaTheme="majorEastAsia"/>
          <w:color w:val="000000" w:themeColor="text1"/>
          <w:szCs w:val="28"/>
          <w14:textFill>
            <w14:solidFill>
              <w14:schemeClr w14:val="tx1"/>
            </w14:solidFill>
          </w14:textFill>
        </w:rPr>
        <w:t>人民生活</w:t>
      </w:r>
      <w:r>
        <w:rPr>
          <w:rFonts w:hint="eastAsia" w:asciiTheme="majorEastAsia" w:hAnsiTheme="majorEastAsia" w:eastAsiaTheme="majorEastAsia"/>
          <w:color w:val="000000" w:themeColor="text1"/>
          <w:szCs w:val="28"/>
          <w14:textFill>
            <w14:solidFill>
              <w14:schemeClr w14:val="tx1"/>
            </w14:solidFill>
          </w14:textFill>
        </w:rPr>
        <w:t>出行</w:t>
      </w:r>
      <w:r>
        <w:rPr>
          <w:rFonts w:asciiTheme="majorEastAsia" w:hAnsiTheme="majorEastAsia" w:eastAsiaTheme="majorEastAsia"/>
          <w:color w:val="000000" w:themeColor="text1"/>
          <w:szCs w:val="28"/>
          <w14:textFill>
            <w14:solidFill>
              <w14:schemeClr w14:val="tx1"/>
            </w14:solidFill>
          </w14:textFill>
        </w:rPr>
        <w:t>条件的原则进行规划设计。</w:t>
      </w:r>
    </w:p>
    <w:p>
      <w:pPr>
        <w:spacing w:line="480" w:lineRule="auto"/>
        <w:ind w:firstLine="560" w:firstLineChars="200"/>
        <w:rPr>
          <w:rFonts w:asciiTheme="majorEastAsia" w:hAnsiTheme="majorEastAsia" w:eastAsiaTheme="majorEastAsia"/>
          <w:color w:val="000000" w:themeColor="text1"/>
          <w:szCs w:val="28"/>
          <w14:textFill>
            <w14:solidFill>
              <w14:schemeClr w14:val="tx1"/>
            </w14:solidFill>
          </w14:textFill>
        </w:rPr>
      </w:pPr>
      <w:r>
        <w:rPr>
          <w:rFonts w:hint="eastAsia" w:asciiTheme="majorEastAsia" w:hAnsiTheme="majorEastAsia" w:eastAsiaTheme="majorEastAsia"/>
          <w:color w:val="000000" w:themeColor="text1"/>
          <w:szCs w:val="28"/>
          <w14:textFill>
            <w14:solidFill>
              <w14:schemeClr w14:val="tx1"/>
            </w14:solidFill>
          </w14:textFill>
        </w:rPr>
        <w:t>（2）从空间管制规避环境影响和生态破坏，交通基础设施建设项目选址应符合国土空间规划、主体功能区划、产业发展规划、城市总体规划、土地利用规划、环境保护规划、生态保护红线要求。依据空间管制红线实行分级分类管控。国家公园、自然保护地、风景名胜区、重要湿地、饮用水源保护区、生态公益林、水源涵养区、洪水调蓄水区内实行有限准入的原则，严格限制有损于主导生态功能的建设活动，将绿色交通理念贯彻于整个规划、设计、施工、运营过程。</w:t>
      </w:r>
    </w:p>
    <w:p>
      <w:pPr>
        <w:spacing w:line="480" w:lineRule="auto"/>
        <w:ind w:firstLine="560" w:firstLineChars="200"/>
        <w:rPr>
          <w:rFonts w:asciiTheme="majorEastAsia" w:hAnsiTheme="majorEastAsia" w:eastAsiaTheme="majorEastAsia"/>
          <w:color w:val="000000" w:themeColor="text1"/>
          <w:szCs w:val="28"/>
          <w14:textFill>
            <w14:solidFill>
              <w14:schemeClr w14:val="tx1"/>
            </w14:solidFill>
          </w14:textFill>
        </w:rPr>
      </w:pPr>
      <w:r>
        <w:rPr>
          <w:rFonts w:hint="eastAsia" w:asciiTheme="majorEastAsia" w:hAnsiTheme="majorEastAsia" w:eastAsiaTheme="majorEastAsia"/>
          <w:color w:val="000000" w:themeColor="text1"/>
          <w:szCs w:val="28"/>
          <w14:textFill>
            <w14:solidFill>
              <w14:schemeClr w14:val="tx1"/>
            </w14:solidFill>
          </w14:textFill>
        </w:rPr>
        <w:t>（3）合理利用资源，提高能源利用效率，促进自然资源保护。完善土地节约利用体制，全面推进节约集约用地，控制土地开发总体强度。严格控制水资源利用总量，提高交通基础设施节水水平。加强对能源消耗总量和强度“双控”管理，提高清洁能源使用比例。</w:t>
      </w:r>
    </w:p>
    <w:p>
      <w:pPr>
        <w:spacing w:line="480" w:lineRule="auto"/>
        <w:ind w:firstLine="560" w:firstLineChars="200"/>
        <w:rPr>
          <w:rFonts w:asciiTheme="majorEastAsia" w:hAnsiTheme="majorEastAsia" w:eastAsiaTheme="majorEastAsia"/>
          <w:color w:val="000000" w:themeColor="text1"/>
          <w:szCs w:val="28"/>
          <w14:textFill>
            <w14:solidFill>
              <w14:schemeClr w14:val="tx1"/>
            </w14:solidFill>
          </w14:textFill>
        </w:rPr>
      </w:pPr>
      <w:r>
        <w:rPr>
          <w:rFonts w:hint="eastAsia" w:asciiTheme="majorEastAsia" w:hAnsiTheme="majorEastAsia" w:eastAsiaTheme="majorEastAsia"/>
          <w:color w:val="000000" w:themeColor="text1"/>
          <w:szCs w:val="28"/>
          <w14:textFill>
            <w14:solidFill>
              <w14:schemeClr w14:val="tx1"/>
            </w14:solidFill>
          </w14:textFill>
        </w:rPr>
        <w:t>（4）按照环境质量不断优化的基本原则，以改善环境质量为目标，衔接大气、水、土壤、噪声环境质量管理要求，严格交通基础建设运营的环境质量底线管理。</w:t>
      </w:r>
    </w:p>
    <w:p>
      <w:pPr>
        <w:pStyle w:val="3"/>
        <w:rPr>
          <w:rFonts w:asciiTheme="majorEastAsia" w:hAnsiTheme="majorEastAsia" w:eastAsiaTheme="majorEastAsia"/>
        </w:rPr>
      </w:pPr>
      <w:bookmarkStart w:id="986" w:name="_Toc12454"/>
      <w:bookmarkStart w:id="987" w:name="_Toc89102207"/>
      <w:r>
        <w:rPr>
          <w:rFonts w:asciiTheme="majorEastAsia" w:hAnsiTheme="majorEastAsia" w:eastAsiaTheme="majorEastAsia"/>
        </w:rPr>
        <w:t>6.</w:t>
      </w:r>
      <w:r>
        <w:rPr>
          <w:rFonts w:hint="eastAsia" w:asciiTheme="majorEastAsia" w:hAnsiTheme="majorEastAsia" w:eastAsiaTheme="majorEastAsia"/>
        </w:rPr>
        <w:t>4评价结论</w:t>
      </w:r>
      <w:bookmarkEnd w:id="986"/>
      <w:bookmarkEnd w:id="987"/>
    </w:p>
    <w:p>
      <w:pPr>
        <w:spacing w:line="480" w:lineRule="auto"/>
        <w:ind w:firstLine="560" w:firstLineChars="200"/>
        <w:rPr>
          <w:rFonts w:asciiTheme="majorEastAsia" w:hAnsiTheme="majorEastAsia" w:eastAsiaTheme="majorEastAsia"/>
          <w:color w:val="000000" w:themeColor="text1"/>
          <w:szCs w:val="28"/>
          <w14:textFill>
            <w14:solidFill>
              <w14:schemeClr w14:val="tx1"/>
            </w14:solidFill>
          </w14:textFill>
        </w:rPr>
      </w:pPr>
      <w:r>
        <w:rPr>
          <w:rFonts w:hint="eastAsia" w:asciiTheme="majorEastAsia" w:hAnsiTheme="majorEastAsia" w:eastAsiaTheme="majorEastAsia"/>
          <w:color w:val="000000" w:themeColor="text1"/>
          <w:szCs w:val="28"/>
          <w14:textFill>
            <w14:solidFill>
              <w14:schemeClr w14:val="tx1"/>
            </w14:solidFill>
          </w14:textFill>
        </w:rPr>
        <w:t>本次规划贯彻了绿色交通的发展理念，统筹六盘水市“十四五”公路、水运等多种运输方式的规划，大幅提高了交通运输效率和资源利用效率。虽然规划新增交通基础设施可能对生态环境产生影响，但在采取一定措施后，规划实施不会对区域重要环境敏感目标和重要保护对象产生显著影响。本规划与上位规划进行有效衔接，符合国家生态文明建设要求，对六盘水交通运输高质量发展具有积极的促进作用。</w:t>
      </w:r>
    </w:p>
    <w:p>
      <w:pPr>
        <w:sectPr>
          <w:pgSz w:w="11906" w:h="16838"/>
          <w:pgMar w:top="1440" w:right="1800" w:bottom="1440" w:left="1800" w:header="851" w:footer="992" w:gutter="0"/>
          <w:cols w:space="425" w:num="1"/>
          <w:docGrid w:type="lines" w:linePitch="312" w:charSpace="0"/>
        </w:sectPr>
      </w:pPr>
    </w:p>
    <w:bookmarkEnd w:id="974"/>
    <w:p>
      <w:pPr>
        <w:pStyle w:val="2"/>
        <w:jc w:val="both"/>
        <w:rPr>
          <w:rFonts w:asciiTheme="majorEastAsia" w:hAnsiTheme="majorEastAsia" w:eastAsiaTheme="majorEastAsia"/>
        </w:rPr>
      </w:pPr>
      <w:bookmarkStart w:id="988" w:name="_Toc51756525"/>
      <w:bookmarkStart w:id="989" w:name="_Toc89102208"/>
      <w:r>
        <w:rPr>
          <w:rFonts w:asciiTheme="majorEastAsia" w:hAnsiTheme="majorEastAsia" w:eastAsiaTheme="majorEastAsia"/>
        </w:rPr>
        <w:t>第</w:t>
      </w:r>
      <w:r>
        <w:rPr>
          <w:rFonts w:hint="eastAsia" w:asciiTheme="majorEastAsia" w:hAnsiTheme="majorEastAsia" w:eastAsiaTheme="majorEastAsia"/>
        </w:rPr>
        <w:t>七</w:t>
      </w:r>
      <w:r>
        <w:rPr>
          <w:rFonts w:asciiTheme="majorEastAsia" w:hAnsiTheme="majorEastAsia" w:eastAsiaTheme="majorEastAsia"/>
        </w:rPr>
        <w:t>章 保障措施</w:t>
      </w:r>
      <w:bookmarkEnd w:id="988"/>
      <w:bookmarkEnd w:id="989"/>
    </w:p>
    <w:p>
      <w:pPr>
        <w:pStyle w:val="3"/>
        <w:rPr>
          <w:rFonts w:asciiTheme="majorEastAsia" w:hAnsiTheme="majorEastAsia" w:eastAsiaTheme="majorEastAsia"/>
        </w:rPr>
      </w:pPr>
      <w:bookmarkStart w:id="990" w:name="_Toc51756526"/>
      <w:bookmarkStart w:id="991" w:name="_Toc89102209"/>
      <w:r>
        <w:rPr>
          <w:rFonts w:asciiTheme="majorEastAsia" w:hAnsiTheme="majorEastAsia" w:eastAsiaTheme="majorEastAsia"/>
        </w:rPr>
        <w:t>7.1 加强</w:t>
      </w:r>
      <w:r>
        <w:rPr>
          <w:rFonts w:hint="eastAsia" w:asciiTheme="majorEastAsia" w:hAnsiTheme="majorEastAsia" w:eastAsiaTheme="majorEastAsia"/>
        </w:rPr>
        <w:t>党的领导</w:t>
      </w:r>
      <w:r>
        <w:rPr>
          <w:rFonts w:asciiTheme="majorEastAsia" w:hAnsiTheme="majorEastAsia" w:eastAsiaTheme="majorEastAsia"/>
        </w:rPr>
        <w:t>，</w:t>
      </w:r>
      <w:r>
        <w:rPr>
          <w:rFonts w:hint="eastAsia" w:asciiTheme="majorEastAsia" w:hAnsiTheme="majorEastAsia" w:eastAsiaTheme="majorEastAsia"/>
        </w:rPr>
        <w:t>加强组织实施</w:t>
      </w:r>
      <w:r>
        <w:rPr>
          <w:rFonts w:asciiTheme="majorEastAsia" w:hAnsiTheme="majorEastAsia" w:eastAsiaTheme="majorEastAsia"/>
        </w:rPr>
        <w:t>。</w:t>
      </w:r>
      <w:bookmarkEnd w:id="990"/>
      <w:bookmarkEnd w:id="991"/>
    </w:p>
    <w:p>
      <w:pPr>
        <w:ind w:firstLine="562" w:firstLineChars="200"/>
        <w:rPr>
          <w:rFonts w:asciiTheme="majorEastAsia" w:hAnsiTheme="majorEastAsia" w:eastAsiaTheme="majorEastAsia"/>
          <w:szCs w:val="28"/>
        </w:rPr>
      </w:pPr>
      <w:r>
        <w:rPr>
          <w:rFonts w:hint="eastAsia" w:asciiTheme="majorEastAsia" w:hAnsiTheme="majorEastAsia" w:eastAsiaTheme="majorEastAsia"/>
          <w:b/>
          <w:bCs/>
          <w:szCs w:val="28"/>
        </w:rPr>
        <w:t>一是</w:t>
      </w:r>
      <w:r>
        <w:rPr>
          <w:rFonts w:hint="eastAsia" w:asciiTheme="majorEastAsia" w:hAnsiTheme="majorEastAsia" w:eastAsiaTheme="majorEastAsia"/>
          <w:szCs w:val="28"/>
        </w:rPr>
        <w:t>坚持和加强党的全面领导，坚持用习近平新时代中国特色社会主义思想武装头脑，认真贯彻落实党中央、国务院决策部署，增强“四个意识”，坚定“四个自信”，做好“两个维护”。充分发挥党总揽全局、协调各方的作用，加强党对交通运输发展各方面各环节的领导。加强基层党组织建设，引导广大党员发挥先锋模范作用。</w:t>
      </w:r>
    </w:p>
    <w:p>
      <w:pPr>
        <w:ind w:firstLine="562" w:firstLineChars="200"/>
        <w:rPr>
          <w:rFonts w:asciiTheme="majorEastAsia" w:hAnsiTheme="majorEastAsia" w:eastAsiaTheme="majorEastAsia"/>
          <w:szCs w:val="28"/>
        </w:rPr>
      </w:pPr>
      <w:r>
        <w:rPr>
          <w:rFonts w:hint="eastAsia" w:asciiTheme="majorEastAsia" w:hAnsiTheme="majorEastAsia" w:eastAsiaTheme="majorEastAsia"/>
          <w:b/>
          <w:bCs/>
          <w:szCs w:val="28"/>
        </w:rPr>
        <w:t>二</w:t>
      </w:r>
      <w:r>
        <w:rPr>
          <w:rFonts w:asciiTheme="majorEastAsia" w:hAnsiTheme="majorEastAsia" w:eastAsiaTheme="majorEastAsia"/>
          <w:b/>
          <w:bCs/>
          <w:szCs w:val="28"/>
        </w:rPr>
        <w:t>是</w:t>
      </w:r>
      <w:r>
        <w:rPr>
          <w:rFonts w:asciiTheme="majorEastAsia" w:hAnsiTheme="majorEastAsia" w:eastAsiaTheme="majorEastAsia"/>
          <w:szCs w:val="28"/>
        </w:rPr>
        <w:t>建立和完善规划目标责任制和考核机制，分解落实规划目标任务，制定好实施方案。健全规划评估机制，做好规划实施的跟踪、督促和评估工作，及时把握交通运输发展过程中出现的新情况、新问题，适时调整规划和相关政策，更好地指导交通运输事业发展。</w:t>
      </w:r>
    </w:p>
    <w:p>
      <w:pPr>
        <w:ind w:firstLine="562" w:firstLineChars="200"/>
        <w:rPr>
          <w:rFonts w:asciiTheme="majorEastAsia" w:hAnsiTheme="majorEastAsia" w:eastAsiaTheme="majorEastAsia"/>
          <w:szCs w:val="28"/>
        </w:rPr>
      </w:pPr>
      <w:r>
        <w:rPr>
          <w:rFonts w:hint="eastAsia" w:asciiTheme="majorEastAsia" w:hAnsiTheme="majorEastAsia" w:eastAsiaTheme="majorEastAsia"/>
          <w:b/>
          <w:bCs/>
          <w:szCs w:val="28"/>
        </w:rPr>
        <w:t>三</w:t>
      </w:r>
      <w:r>
        <w:rPr>
          <w:rFonts w:asciiTheme="majorEastAsia" w:hAnsiTheme="majorEastAsia" w:eastAsiaTheme="majorEastAsia"/>
          <w:b/>
          <w:bCs/>
          <w:szCs w:val="28"/>
        </w:rPr>
        <w:t>是</w:t>
      </w:r>
      <w:r>
        <w:rPr>
          <w:rFonts w:asciiTheme="majorEastAsia" w:hAnsiTheme="majorEastAsia" w:eastAsiaTheme="majorEastAsia"/>
          <w:szCs w:val="28"/>
        </w:rPr>
        <w:t>强化实施过程监管，按照国家、省有关部门等关于中期财政规划管理的要求，在“十四五”规划基础上，结合目标执行情况、需求变化及前期工作推进情况，科学编制三年滚动财政规划和三年滚动项目库，并进行逐年滚动管理，动态确定年度计划。建立和完善普通国省道、农村公路规划管理系统，利用地理信息平台进一步提高规划决策和项目管理水平。</w:t>
      </w:r>
    </w:p>
    <w:p>
      <w:pPr>
        <w:ind w:firstLine="562" w:firstLineChars="200"/>
        <w:rPr>
          <w:rFonts w:asciiTheme="majorEastAsia" w:hAnsiTheme="majorEastAsia" w:eastAsiaTheme="majorEastAsia"/>
          <w:szCs w:val="28"/>
        </w:rPr>
      </w:pPr>
      <w:r>
        <w:rPr>
          <w:rFonts w:hint="eastAsia" w:asciiTheme="majorEastAsia" w:hAnsiTheme="majorEastAsia" w:eastAsiaTheme="majorEastAsia"/>
          <w:b/>
          <w:bCs/>
          <w:szCs w:val="28"/>
        </w:rPr>
        <w:t>四</w:t>
      </w:r>
      <w:r>
        <w:rPr>
          <w:rFonts w:asciiTheme="majorEastAsia" w:hAnsiTheme="majorEastAsia" w:eastAsiaTheme="majorEastAsia"/>
          <w:b/>
          <w:bCs/>
          <w:szCs w:val="28"/>
        </w:rPr>
        <w:t>是</w:t>
      </w:r>
      <w:r>
        <w:rPr>
          <w:rFonts w:asciiTheme="majorEastAsia" w:hAnsiTheme="majorEastAsia" w:eastAsiaTheme="majorEastAsia"/>
          <w:szCs w:val="28"/>
        </w:rPr>
        <w:t>进一步完善交通运输发展协调机制，继续利用好高速公路等重大建设项目前期工作联合审查机制，在用地、环境评价等方面简化程序，高效解决交通建设发展中的关键问题。在省政府领导下，协调有关部门和各级政府，建立市、</w:t>
      </w:r>
      <w:r>
        <w:rPr>
          <w:rFonts w:hint="eastAsia" w:asciiTheme="majorEastAsia" w:hAnsiTheme="majorEastAsia" w:eastAsiaTheme="majorEastAsia"/>
          <w:szCs w:val="28"/>
        </w:rPr>
        <w:t>区</w:t>
      </w:r>
      <w:r>
        <w:rPr>
          <w:rFonts w:asciiTheme="majorEastAsia" w:hAnsiTheme="majorEastAsia" w:eastAsiaTheme="majorEastAsia"/>
          <w:szCs w:val="28"/>
        </w:rPr>
        <w:t>各级政府的联动机制，明确权责及分工，在土地、环保、城市规划、水利等方面落实好项目前期工作，确保重点工程、重大项目建设的有序推进。</w:t>
      </w:r>
    </w:p>
    <w:p>
      <w:pPr>
        <w:ind w:firstLine="562" w:firstLineChars="200"/>
        <w:rPr>
          <w:rFonts w:asciiTheme="majorEastAsia" w:hAnsiTheme="majorEastAsia" w:eastAsiaTheme="majorEastAsia"/>
          <w:szCs w:val="28"/>
        </w:rPr>
      </w:pPr>
      <w:r>
        <w:rPr>
          <w:rFonts w:hint="eastAsia" w:asciiTheme="majorEastAsia" w:hAnsiTheme="majorEastAsia" w:eastAsiaTheme="majorEastAsia"/>
          <w:b/>
          <w:bCs/>
          <w:szCs w:val="28"/>
        </w:rPr>
        <w:t>五</w:t>
      </w:r>
      <w:r>
        <w:rPr>
          <w:rFonts w:asciiTheme="majorEastAsia" w:hAnsiTheme="majorEastAsia" w:eastAsiaTheme="majorEastAsia"/>
          <w:b/>
          <w:bCs/>
          <w:szCs w:val="28"/>
        </w:rPr>
        <w:t>是</w:t>
      </w:r>
      <w:r>
        <w:rPr>
          <w:rFonts w:asciiTheme="majorEastAsia" w:hAnsiTheme="majorEastAsia" w:eastAsiaTheme="majorEastAsia"/>
          <w:szCs w:val="28"/>
        </w:rPr>
        <w:t>督促交通主管部门以本规划为依据，编制好本地区的交通“十四五”发展规划，形成上级规划指导下级规划、下级规划落实上级规划的互动局面。</w:t>
      </w:r>
    </w:p>
    <w:p>
      <w:pPr>
        <w:pStyle w:val="3"/>
        <w:rPr>
          <w:rFonts w:asciiTheme="majorEastAsia" w:hAnsiTheme="majorEastAsia" w:eastAsiaTheme="majorEastAsia"/>
        </w:rPr>
      </w:pPr>
      <w:bookmarkStart w:id="992" w:name="_Toc51756527"/>
      <w:bookmarkStart w:id="993" w:name="_Toc89102210"/>
      <w:r>
        <w:rPr>
          <w:rFonts w:asciiTheme="majorEastAsia" w:hAnsiTheme="majorEastAsia" w:eastAsiaTheme="majorEastAsia"/>
        </w:rPr>
        <w:t>7.2 保障前期工作，优化建设方案。</w:t>
      </w:r>
      <w:bookmarkEnd w:id="992"/>
      <w:bookmarkEnd w:id="993"/>
    </w:p>
    <w:p>
      <w:pPr>
        <w:ind w:firstLine="562" w:firstLineChars="200"/>
        <w:rPr>
          <w:rFonts w:asciiTheme="majorEastAsia" w:hAnsiTheme="majorEastAsia" w:eastAsiaTheme="majorEastAsia"/>
          <w:szCs w:val="28"/>
        </w:rPr>
      </w:pPr>
      <w:r>
        <w:rPr>
          <w:rFonts w:asciiTheme="majorEastAsia" w:hAnsiTheme="majorEastAsia" w:eastAsiaTheme="majorEastAsia"/>
          <w:b/>
          <w:bCs/>
          <w:szCs w:val="28"/>
        </w:rPr>
        <w:t>一是</w:t>
      </w:r>
      <w:r>
        <w:rPr>
          <w:rFonts w:asciiTheme="majorEastAsia" w:hAnsiTheme="majorEastAsia" w:eastAsiaTheme="majorEastAsia"/>
          <w:szCs w:val="28"/>
        </w:rPr>
        <w:t>加强与自然资源部门对接，做好“多规合一”工作。充分利用好前期高速公路和国省道国土空间规划成果，统筹解决好用地问题，积极争取空间资源有效预留，为规划实施提供用地保障。</w:t>
      </w:r>
    </w:p>
    <w:p>
      <w:pPr>
        <w:ind w:firstLine="562" w:firstLineChars="200"/>
        <w:rPr>
          <w:rFonts w:asciiTheme="majorEastAsia" w:hAnsiTheme="majorEastAsia" w:eastAsiaTheme="majorEastAsia"/>
          <w:szCs w:val="28"/>
        </w:rPr>
      </w:pPr>
      <w:r>
        <w:rPr>
          <w:rFonts w:asciiTheme="majorEastAsia" w:hAnsiTheme="majorEastAsia" w:eastAsiaTheme="majorEastAsia"/>
          <w:b/>
          <w:bCs/>
          <w:szCs w:val="28"/>
        </w:rPr>
        <w:t>二是</w:t>
      </w:r>
      <w:r>
        <w:rPr>
          <w:rFonts w:asciiTheme="majorEastAsia" w:hAnsiTheme="majorEastAsia" w:eastAsiaTheme="majorEastAsia"/>
          <w:szCs w:val="28"/>
        </w:rPr>
        <w:t>统筹部署项目前期工作，对于资金政策有保障、建设需求迫切的“十四五”项目，要提前开展前期工作，做好项目储备。建立和完善建设项目数据库，加大前期工作中资金、科技和人才投入，提高前期工作质量。</w:t>
      </w:r>
    </w:p>
    <w:p>
      <w:pPr>
        <w:ind w:firstLine="562" w:firstLineChars="200"/>
        <w:rPr>
          <w:rFonts w:asciiTheme="majorEastAsia" w:hAnsiTheme="majorEastAsia" w:eastAsiaTheme="majorEastAsia"/>
          <w:szCs w:val="28"/>
        </w:rPr>
      </w:pPr>
      <w:r>
        <w:rPr>
          <w:rFonts w:asciiTheme="majorEastAsia" w:hAnsiTheme="majorEastAsia" w:eastAsiaTheme="majorEastAsia"/>
          <w:b/>
          <w:bCs/>
          <w:szCs w:val="28"/>
        </w:rPr>
        <w:t>三是</w:t>
      </w:r>
      <w:r>
        <w:rPr>
          <w:rFonts w:asciiTheme="majorEastAsia" w:hAnsiTheme="majorEastAsia" w:eastAsiaTheme="majorEastAsia"/>
          <w:szCs w:val="28"/>
        </w:rPr>
        <w:t>进一步加强项目建设方案论证和线位比选，合理确定建设标准。对于与高速公路平行的路线、连接节点较小的路线，应考虑其功能和交通需求实际，结合建设成本合理确定建设方案，不宜过于追求高标准。城市过境路段建设中，应结合城市规划建设状况和交通需求，慎重研究确定过境段建设模式和建设标准。要研究山区普通国省道建设的地方标准，更好地适应六盘水市发展实际，并降低造价，提高项目的可实施性。</w:t>
      </w:r>
    </w:p>
    <w:p>
      <w:pPr>
        <w:pStyle w:val="3"/>
        <w:rPr>
          <w:rFonts w:asciiTheme="majorEastAsia" w:hAnsiTheme="majorEastAsia" w:eastAsiaTheme="majorEastAsia"/>
        </w:rPr>
      </w:pPr>
      <w:bookmarkStart w:id="994" w:name="_Toc51756528"/>
      <w:bookmarkStart w:id="995" w:name="_Toc89102211"/>
      <w:r>
        <w:rPr>
          <w:rFonts w:asciiTheme="majorEastAsia" w:hAnsiTheme="majorEastAsia" w:eastAsiaTheme="majorEastAsia"/>
        </w:rPr>
        <w:t>7.3 优化体制机制，加强建养管理。</w:t>
      </w:r>
      <w:bookmarkEnd w:id="994"/>
      <w:bookmarkEnd w:id="995"/>
    </w:p>
    <w:p>
      <w:pPr>
        <w:ind w:firstLine="562" w:firstLineChars="200"/>
        <w:rPr>
          <w:rFonts w:asciiTheme="majorEastAsia" w:hAnsiTheme="majorEastAsia" w:eastAsiaTheme="majorEastAsia"/>
          <w:szCs w:val="28"/>
        </w:rPr>
      </w:pPr>
      <w:r>
        <w:rPr>
          <w:rFonts w:asciiTheme="majorEastAsia" w:hAnsiTheme="majorEastAsia" w:eastAsiaTheme="majorEastAsia"/>
          <w:b/>
          <w:bCs/>
          <w:szCs w:val="28"/>
        </w:rPr>
        <w:t>一是</w:t>
      </w:r>
      <w:r>
        <w:rPr>
          <w:rFonts w:asciiTheme="majorEastAsia" w:hAnsiTheme="majorEastAsia" w:eastAsiaTheme="majorEastAsia"/>
          <w:szCs w:val="28"/>
        </w:rPr>
        <w:t>加强建设管理，确保质量安全。进一步完善项目法人责任制、招标投标制、工程监理制和合同管理制等建设管理制度，提升项目建设管理专业化水平。认真贯彻《贵州省交通建设工程质量安全监督管理条例》等规定要求，把项目标准化施工、规范化管理、平安化建设贯穿工程建设始终，在推进大规模建设的同时切实保障工程质量和施工安全。</w:t>
      </w:r>
    </w:p>
    <w:p>
      <w:pPr>
        <w:ind w:firstLine="562" w:firstLineChars="200"/>
        <w:rPr>
          <w:rFonts w:asciiTheme="majorEastAsia" w:hAnsiTheme="majorEastAsia" w:eastAsiaTheme="majorEastAsia"/>
          <w:szCs w:val="28"/>
        </w:rPr>
      </w:pPr>
      <w:r>
        <w:rPr>
          <w:rFonts w:asciiTheme="majorEastAsia" w:hAnsiTheme="majorEastAsia" w:eastAsiaTheme="majorEastAsia"/>
          <w:b/>
          <w:bCs/>
          <w:szCs w:val="28"/>
        </w:rPr>
        <w:t>二是</w:t>
      </w:r>
      <w:r>
        <w:rPr>
          <w:rFonts w:asciiTheme="majorEastAsia" w:hAnsiTheme="majorEastAsia" w:eastAsiaTheme="majorEastAsia"/>
          <w:szCs w:val="28"/>
        </w:rPr>
        <w:t>加强养护管理，用好存量资源。在新建一批高速公路、普通干线和农村公路的同时，加强既有路线的养护和运营管理，充分提高既有交通设施的使用效率。重点是加强交通运输养护管理体制机制研究，结合事权划分落实各级政府在不同层次养护管理中的主体责任，协调县各级政府在一般财政收入中安排资金用于农村公路养护，切实保障各交通设施处于良好的运行状态。进一步强化超载超限治理工作，保证基础设施服务水平、延长使用寿命。</w:t>
      </w:r>
    </w:p>
    <w:p>
      <w:pPr>
        <w:pStyle w:val="3"/>
        <w:rPr>
          <w:rFonts w:asciiTheme="majorEastAsia" w:hAnsiTheme="majorEastAsia" w:eastAsiaTheme="majorEastAsia"/>
        </w:rPr>
      </w:pPr>
      <w:bookmarkStart w:id="996" w:name="_Toc51756529"/>
      <w:bookmarkStart w:id="997" w:name="_Toc89102212"/>
      <w:r>
        <w:rPr>
          <w:rFonts w:asciiTheme="majorEastAsia" w:hAnsiTheme="majorEastAsia" w:eastAsiaTheme="majorEastAsia"/>
        </w:rPr>
        <w:t>7.4 加强人才建设，争取技术支持。</w:t>
      </w:r>
      <w:bookmarkEnd w:id="996"/>
      <w:bookmarkEnd w:id="997"/>
    </w:p>
    <w:p>
      <w:pPr>
        <w:ind w:firstLine="562" w:firstLineChars="200"/>
        <w:rPr>
          <w:rFonts w:asciiTheme="majorEastAsia" w:hAnsiTheme="majorEastAsia" w:eastAsiaTheme="majorEastAsia"/>
          <w:szCs w:val="28"/>
        </w:rPr>
      </w:pPr>
      <w:r>
        <w:rPr>
          <w:rFonts w:asciiTheme="majorEastAsia" w:hAnsiTheme="majorEastAsia" w:eastAsiaTheme="majorEastAsia"/>
          <w:b/>
          <w:bCs/>
          <w:szCs w:val="28"/>
        </w:rPr>
        <w:t>一是</w:t>
      </w:r>
      <w:r>
        <w:rPr>
          <w:rFonts w:asciiTheme="majorEastAsia" w:hAnsiTheme="majorEastAsia" w:eastAsiaTheme="majorEastAsia"/>
          <w:szCs w:val="28"/>
        </w:rPr>
        <w:t>继续实施“人才强交”战略，加大复合型人才和紧缺型人才的培养引进力度；探索建立专家联席长效机制，依托和广泛联系各相关领域专家、学者和精英人士，为六盘水市交通发展建设智库，为有关重大决策研究出谋划策。</w:t>
      </w:r>
    </w:p>
    <w:p>
      <w:pPr>
        <w:ind w:firstLine="562" w:firstLineChars="200"/>
        <w:rPr>
          <w:rFonts w:asciiTheme="majorEastAsia" w:hAnsiTheme="majorEastAsia" w:eastAsiaTheme="majorEastAsia"/>
          <w:szCs w:val="28"/>
        </w:rPr>
      </w:pPr>
      <w:r>
        <w:rPr>
          <w:rFonts w:asciiTheme="majorEastAsia" w:hAnsiTheme="majorEastAsia" w:eastAsiaTheme="majorEastAsia"/>
          <w:b/>
          <w:bCs/>
          <w:szCs w:val="28"/>
        </w:rPr>
        <w:t>二是</w:t>
      </w:r>
      <w:r>
        <w:rPr>
          <w:rFonts w:asciiTheme="majorEastAsia" w:hAnsiTheme="majorEastAsia" w:eastAsiaTheme="majorEastAsia"/>
          <w:szCs w:val="28"/>
        </w:rPr>
        <w:t>加强技术引进与推广应用，密切关注新型载运工具、智慧交通基础设施等新技术研发动态，深度对接交通大数据发展最新成果，积极推动大数据、云计算、人工智能、物联网、车路协同和智能感知等技术综合应用，以信息化手段改造提升六盘水市交通基础设施。</w:t>
      </w:r>
    </w:p>
    <w:p>
      <w:pPr>
        <w:pStyle w:val="3"/>
        <w:rPr>
          <w:rFonts w:asciiTheme="majorEastAsia" w:hAnsiTheme="majorEastAsia" w:eastAsiaTheme="majorEastAsia"/>
        </w:rPr>
      </w:pPr>
      <w:bookmarkStart w:id="998" w:name="_Toc51756530"/>
      <w:bookmarkStart w:id="999" w:name="_Toc89102213"/>
      <w:r>
        <w:rPr>
          <w:rFonts w:asciiTheme="majorEastAsia" w:hAnsiTheme="majorEastAsia" w:eastAsiaTheme="majorEastAsia"/>
        </w:rPr>
        <w:t>7.5 抓好试点工作，争创示范工程。</w:t>
      </w:r>
      <w:bookmarkEnd w:id="998"/>
      <w:bookmarkEnd w:id="999"/>
    </w:p>
    <w:p>
      <w:pPr>
        <w:ind w:firstLine="560" w:firstLineChars="200"/>
        <w:rPr>
          <w:rFonts w:asciiTheme="majorEastAsia" w:hAnsiTheme="majorEastAsia" w:eastAsiaTheme="majorEastAsia"/>
          <w:szCs w:val="28"/>
        </w:rPr>
      </w:pPr>
      <w:r>
        <w:rPr>
          <w:rFonts w:asciiTheme="majorEastAsia" w:hAnsiTheme="majorEastAsia" w:eastAsiaTheme="majorEastAsia"/>
          <w:szCs w:val="28"/>
        </w:rPr>
        <w:t>聚焦贫困地区等重点区域和综合运输枢纽、智慧交通建设、交旅融合、农村公路等重点领域，用3-5年时间，扎实推进交通强国试点工作，坚持点面结合、探索创新，远近结合、滚动实施，因地制宜、分类推进，多方联合、创新机制，充分发挥行业、地方、社会各方的积极性和创造性，推动出台一批战略规划和配套政策，争取在“四好农村路”建设方面争创示范工程，走在全省前列。</w:t>
      </w:r>
    </w:p>
    <w:p>
      <w:pPr>
        <w:rPr>
          <w:rFonts w:asciiTheme="majorEastAsia" w:hAnsiTheme="majorEastAsia" w:eastAsiaTheme="majorEastAsia"/>
          <w:szCs w:val="28"/>
        </w:rPr>
        <w:sectPr>
          <w:pgSz w:w="11906" w:h="16838"/>
          <w:pgMar w:top="1440" w:right="1800" w:bottom="1440" w:left="1800" w:header="851" w:footer="992" w:gutter="0"/>
          <w:cols w:space="425" w:num="1"/>
          <w:docGrid w:type="lines" w:linePitch="312" w:charSpace="0"/>
        </w:sectPr>
      </w:pPr>
    </w:p>
    <w:p>
      <w:pPr>
        <w:keepNext/>
        <w:keepLines/>
        <w:spacing w:after="100" w:afterAutospacing="1"/>
        <w:ind w:firstLine="160" w:firstLineChars="50"/>
        <w:outlineLvl w:val="0"/>
        <w:rPr>
          <w:rFonts w:cs="宋体" w:asciiTheme="majorEastAsia" w:hAnsiTheme="majorEastAsia" w:eastAsiaTheme="majorEastAsia"/>
          <w:b/>
          <w:bCs/>
          <w:kern w:val="44"/>
          <w:sz w:val="32"/>
          <w:szCs w:val="44"/>
        </w:rPr>
      </w:pPr>
      <w:bookmarkStart w:id="1000" w:name="_Toc53672323"/>
      <w:bookmarkStart w:id="1001" w:name="_Toc31758"/>
      <w:bookmarkStart w:id="1002" w:name="_Toc89102214"/>
      <w:r>
        <w:rPr>
          <w:rFonts w:hint="eastAsia" w:cs="宋体" w:asciiTheme="majorEastAsia" w:hAnsiTheme="majorEastAsia" w:eastAsiaTheme="majorEastAsia"/>
          <w:b/>
          <w:bCs/>
          <w:kern w:val="44"/>
          <w:sz w:val="32"/>
          <w:szCs w:val="44"/>
        </w:rPr>
        <w:t>附表</w:t>
      </w:r>
      <w:r>
        <w:rPr>
          <w:rFonts w:asciiTheme="majorEastAsia" w:hAnsiTheme="majorEastAsia" w:eastAsiaTheme="majorEastAsia"/>
          <w:b/>
          <w:bCs/>
          <w:kern w:val="44"/>
          <w:sz w:val="32"/>
          <w:szCs w:val="44"/>
        </w:rPr>
        <w:t xml:space="preserve">1  </w:t>
      </w:r>
      <w:r>
        <w:rPr>
          <w:rFonts w:hint="eastAsia" w:cs="宋体" w:asciiTheme="majorEastAsia" w:hAnsiTheme="majorEastAsia" w:eastAsiaTheme="majorEastAsia"/>
          <w:b/>
          <w:bCs/>
          <w:kern w:val="44"/>
          <w:sz w:val="32"/>
          <w:szCs w:val="44"/>
        </w:rPr>
        <w:t>六盘水市</w:t>
      </w:r>
      <w:r>
        <w:rPr>
          <w:rFonts w:asciiTheme="majorEastAsia" w:hAnsiTheme="majorEastAsia" w:eastAsiaTheme="majorEastAsia"/>
          <w:b/>
          <w:bCs/>
          <w:kern w:val="44"/>
          <w:sz w:val="32"/>
          <w:szCs w:val="44"/>
        </w:rPr>
        <w:t>“</w:t>
      </w:r>
      <w:r>
        <w:rPr>
          <w:rFonts w:hint="eastAsia" w:cs="宋体" w:asciiTheme="majorEastAsia" w:hAnsiTheme="majorEastAsia" w:eastAsiaTheme="majorEastAsia"/>
          <w:b/>
          <w:bCs/>
          <w:kern w:val="44"/>
          <w:sz w:val="32"/>
          <w:szCs w:val="44"/>
        </w:rPr>
        <w:t>十四五</w:t>
      </w:r>
      <w:r>
        <w:rPr>
          <w:rFonts w:asciiTheme="majorEastAsia" w:hAnsiTheme="majorEastAsia" w:eastAsiaTheme="majorEastAsia"/>
          <w:b/>
          <w:bCs/>
          <w:kern w:val="44"/>
          <w:sz w:val="32"/>
          <w:szCs w:val="44"/>
        </w:rPr>
        <w:t>”</w:t>
      </w:r>
      <w:r>
        <w:rPr>
          <w:rFonts w:hint="eastAsia" w:cs="宋体" w:asciiTheme="majorEastAsia" w:hAnsiTheme="majorEastAsia" w:eastAsiaTheme="majorEastAsia"/>
          <w:b/>
          <w:bCs/>
          <w:kern w:val="44"/>
          <w:sz w:val="32"/>
          <w:szCs w:val="44"/>
        </w:rPr>
        <w:t>高速公路建设项目表</w:t>
      </w:r>
      <w:bookmarkEnd w:id="1000"/>
      <w:bookmarkEnd w:id="1001"/>
      <w:bookmarkEnd w:id="1002"/>
    </w:p>
    <w:tbl>
      <w:tblPr>
        <w:tblStyle w:val="19"/>
        <w:tblW w:w="10880" w:type="dxa"/>
        <w:jc w:val="center"/>
        <w:tblLayout w:type="autofit"/>
        <w:tblCellMar>
          <w:top w:w="0" w:type="dxa"/>
          <w:left w:w="108" w:type="dxa"/>
          <w:bottom w:w="0" w:type="dxa"/>
          <w:right w:w="108" w:type="dxa"/>
        </w:tblCellMar>
      </w:tblPr>
      <w:tblGrid>
        <w:gridCol w:w="562"/>
        <w:gridCol w:w="3119"/>
        <w:gridCol w:w="719"/>
        <w:gridCol w:w="1549"/>
        <w:gridCol w:w="850"/>
        <w:gridCol w:w="841"/>
        <w:gridCol w:w="1080"/>
        <w:gridCol w:w="1080"/>
        <w:gridCol w:w="1080"/>
      </w:tblGrid>
      <w:tr>
        <w:tblPrEx>
          <w:tblCellMar>
            <w:top w:w="0" w:type="dxa"/>
            <w:left w:w="108" w:type="dxa"/>
            <w:bottom w:w="0" w:type="dxa"/>
            <w:right w:w="108" w:type="dxa"/>
          </w:tblCellMar>
        </w:tblPrEx>
        <w:trPr>
          <w:trHeight w:val="270" w:hRule="atLeast"/>
          <w:jc w:val="center"/>
        </w:trPr>
        <w:tc>
          <w:tcPr>
            <w:tcW w:w="56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b/>
                <w:bCs/>
                <w:color w:val="000000"/>
                <w:kern w:val="0"/>
                <w:sz w:val="20"/>
                <w:szCs w:val="20"/>
              </w:rPr>
            </w:pPr>
            <w:r>
              <w:rPr>
                <w:rFonts w:hint="eastAsia" w:cs="宋体" w:asciiTheme="majorEastAsia" w:hAnsiTheme="majorEastAsia" w:eastAsiaTheme="majorEastAsia"/>
                <w:b/>
                <w:bCs/>
                <w:color w:val="000000"/>
                <w:kern w:val="0"/>
                <w:sz w:val="20"/>
                <w:szCs w:val="20"/>
              </w:rPr>
              <w:t>序号</w:t>
            </w:r>
          </w:p>
        </w:tc>
        <w:tc>
          <w:tcPr>
            <w:tcW w:w="3119"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jc w:val="center"/>
              <w:rPr>
                <w:rFonts w:cs="宋体" w:asciiTheme="majorEastAsia" w:hAnsiTheme="majorEastAsia" w:eastAsiaTheme="majorEastAsia"/>
                <w:b/>
                <w:bCs/>
                <w:color w:val="000000"/>
                <w:kern w:val="0"/>
                <w:sz w:val="20"/>
                <w:szCs w:val="20"/>
              </w:rPr>
            </w:pPr>
            <w:r>
              <w:rPr>
                <w:rFonts w:hint="eastAsia" w:cs="宋体" w:asciiTheme="majorEastAsia" w:hAnsiTheme="majorEastAsia" w:eastAsiaTheme="majorEastAsia"/>
                <w:b/>
                <w:bCs/>
                <w:color w:val="000000"/>
                <w:kern w:val="0"/>
                <w:sz w:val="20"/>
                <w:szCs w:val="20"/>
              </w:rPr>
              <w:t>项目名称</w:t>
            </w:r>
          </w:p>
        </w:tc>
        <w:tc>
          <w:tcPr>
            <w:tcW w:w="719"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b/>
                <w:bCs/>
                <w:color w:val="000000"/>
                <w:kern w:val="0"/>
                <w:sz w:val="20"/>
                <w:szCs w:val="20"/>
              </w:rPr>
            </w:pPr>
            <w:r>
              <w:rPr>
                <w:rFonts w:hint="eastAsia" w:cs="宋体" w:asciiTheme="majorEastAsia" w:hAnsiTheme="majorEastAsia" w:eastAsiaTheme="majorEastAsia"/>
                <w:b/>
                <w:bCs/>
                <w:color w:val="000000"/>
                <w:kern w:val="0"/>
                <w:sz w:val="20"/>
                <w:szCs w:val="20"/>
              </w:rPr>
              <w:t>建设</w:t>
            </w:r>
          </w:p>
          <w:p>
            <w:pPr>
              <w:widowControl/>
              <w:spacing w:line="240" w:lineRule="auto"/>
              <w:jc w:val="center"/>
              <w:rPr>
                <w:rFonts w:cs="宋体" w:asciiTheme="majorEastAsia" w:hAnsiTheme="majorEastAsia" w:eastAsiaTheme="majorEastAsia"/>
                <w:b/>
                <w:bCs/>
                <w:color w:val="000000"/>
                <w:kern w:val="0"/>
                <w:sz w:val="20"/>
                <w:szCs w:val="20"/>
              </w:rPr>
            </w:pPr>
            <w:r>
              <w:rPr>
                <w:rFonts w:hint="eastAsia" w:cs="宋体" w:asciiTheme="majorEastAsia" w:hAnsiTheme="majorEastAsia" w:eastAsiaTheme="majorEastAsia"/>
                <w:b/>
                <w:bCs/>
                <w:color w:val="000000"/>
                <w:kern w:val="0"/>
                <w:sz w:val="20"/>
                <w:szCs w:val="20"/>
              </w:rPr>
              <w:t>性质</w:t>
            </w:r>
          </w:p>
        </w:tc>
        <w:tc>
          <w:tcPr>
            <w:tcW w:w="1549"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b/>
                <w:bCs/>
                <w:color w:val="000000"/>
                <w:kern w:val="0"/>
                <w:sz w:val="20"/>
                <w:szCs w:val="20"/>
              </w:rPr>
            </w:pPr>
            <w:r>
              <w:rPr>
                <w:rFonts w:hint="eastAsia" w:cs="宋体" w:asciiTheme="majorEastAsia" w:hAnsiTheme="majorEastAsia" w:eastAsiaTheme="majorEastAsia"/>
                <w:b/>
                <w:bCs/>
                <w:color w:val="000000"/>
                <w:kern w:val="0"/>
                <w:sz w:val="20"/>
                <w:szCs w:val="20"/>
              </w:rPr>
              <w:t>规模（公里）</w:t>
            </w:r>
          </w:p>
        </w:tc>
        <w:tc>
          <w:tcPr>
            <w:tcW w:w="1691" w:type="dxa"/>
            <w:gridSpan w:val="2"/>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spacing w:line="240" w:lineRule="auto"/>
              <w:jc w:val="center"/>
              <w:rPr>
                <w:rFonts w:cs="宋体" w:asciiTheme="majorEastAsia" w:hAnsiTheme="majorEastAsia" w:eastAsiaTheme="majorEastAsia"/>
                <w:b/>
                <w:bCs/>
                <w:color w:val="000000"/>
                <w:kern w:val="0"/>
                <w:sz w:val="20"/>
                <w:szCs w:val="20"/>
              </w:rPr>
            </w:pPr>
            <w:r>
              <w:rPr>
                <w:rFonts w:hint="eastAsia" w:cs="宋体" w:asciiTheme="majorEastAsia" w:hAnsiTheme="majorEastAsia" w:eastAsiaTheme="majorEastAsia"/>
                <w:b/>
                <w:bCs/>
                <w:color w:val="000000"/>
                <w:kern w:val="0"/>
                <w:sz w:val="20"/>
                <w:szCs w:val="20"/>
              </w:rPr>
              <w:t>建设起止年限</w:t>
            </w:r>
          </w:p>
        </w:tc>
        <w:tc>
          <w:tcPr>
            <w:tcW w:w="108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b/>
                <w:bCs/>
                <w:color w:val="000000"/>
                <w:kern w:val="0"/>
                <w:sz w:val="20"/>
                <w:szCs w:val="20"/>
                <w:highlight w:val="yellow"/>
              </w:rPr>
            </w:pPr>
            <w:r>
              <w:rPr>
                <w:rFonts w:hint="eastAsia" w:cs="宋体" w:asciiTheme="majorEastAsia" w:hAnsiTheme="majorEastAsia" w:eastAsiaTheme="majorEastAsia"/>
                <w:b/>
                <w:bCs/>
                <w:color w:val="000000"/>
                <w:kern w:val="0"/>
                <w:sz w:val="20"/>
                <w:szCs w:val="20"/>
              </w:rPr>
              <w:t>总投资</w:t>
            </w:r>
            <w:r>
              <w:rPr>
                <w:rFonts w:asciiTheme="majorEastAsia" w:hAnsiTheme="majorEastAsia" w:eastAsiaTheme="majorEastAsia"/>
                <w:b/>
                <w:bCs/>
                <w:color w:val="000000"/>
                <w:kern w:val="0"/>
                <w:sz w:val="20"/>
                <w:szCs w:val="20"/>
              </w:rPr>
              <w:t>(</w:t>
            </w:r>
            <w:r>
              <w:rPr>
                <w:rFonts w:hint="eastAsia" w:asciiTheme="majorEastAsia" w:hAnsiTheme="majorEastAsia" w:eastAsiaTheme="majorEastAsia"/>
                <w:b/>
                <w:bCs/>
                <w:color w:val="000000"/>
                <w:kern w:val="0"/>
                <w:sz w:val="20"/>
                <w:szCs w:val="20"/>
              </w:rPr>
              <w:t>万</w:t>
            </w:r>
            <w:r>
              <w:rPr>
                <w:rFonts w:hint="eastAsia" w:cs="宋体" w:asciiTheme="majorEastAsia" w:hAnsiTheme="majorEastAsia" w:eastAsiaTheme="majorEastAsia"/>
                <w:b/>
                <w:bCs/>
                <w:color w:val="000000"/>
                <w:kern w:val="0"/>
                <w:sz w:val="20"/>
                <w:szCs w:val="20"/>
              </w:rPr>
              <w:t>元</w:t>
            </w:r>
            <w:r>
              <w:rPr>
                <w:rFonts w:asciiTheme="majorEastAsia" w:hAnsiTheme="majorEastAsia" w:eastAsiaTheme="majorEastAsia"/>
                <w:b/>
                <w:bCs/>
                <w:color w:val="000000"/>
                <w:kern w:val="0"/>
                <w:sz w:val="20"/>
                <w:szCs w:val="20"/>
              </w:rPr>
              <w:t>)</w:t>
            </w:r>
          </w:p>
        </w:tc>
        <w:tc>
          <w:tcPr>
            <w:tcW w:w="2160"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line="240" w:lineRule="auto"/>
              <w:jc w:val="center"/>
              <w:rPr>
                <w:rFonts w:asciiTheme="majorEastAsia" w:hAnsiTheme="majorEastAsia" w:eastAsiaTheme="majorEastAsia"/>
                <w:b/>
                <w:bCs/>
                <w:color w:val="000000"/>
                <w:kern w:val="0"/>
                <w:sz w:val="20"/>
                <w:szCs w:val="20"/>
              </w:rPr>
            </w:pPr>
            <w:r>
              <w:rPr>
                <w:rFonts w:asciiTheme="majorEastAsia" w:hAnsiTheme="majorEastAsia" w:eastAsiaTheme="majorEastAsia"/>
                <w:b/>
                <w:bCs/>
                <w:color w:val="000000"/>
                <w:kern w:val="0"/>
                <w:sz w:val="20"/>
                <w:szCs w:val="20"/>
              </w:rPr>
              <w:t>“</w:t>
            </w:r>
            <w:r>
              <w:rPr>
                <w:rFonts w:hint="eastAsia" w:asciiTheme="majorEastAsia" w:hAnsiTheme="majorEastAsia" w:eastAsiaTheme="majorEastAsia"/>
                <w:b/>
                <w:bCs/>
                <w:color w:val="000000"/>
                <w:kern w:val="0"/>
                <w:sz w:val="20"/>
                <w:szCs w:val="20"/>
              </w:rPr>
              <w:t>十四五</w:t>
            </w:r>
            <w:r>
              <w:rPr>
                <w:rFonts w:asciiTheme="majorEastAsia" w:hAnsiTheme="majorEastAsia" w:eastAsiaTheme="majorEastAsia"/>
                <w:b/>
                <w:bCs/>
                <w:color w:val="000000"/>
                <w:kern w:val="0"/>
                <w:sz w:val="20"/>
                <w:szCs w:val="20"/>
              </w:rPr>
              <w:t>”</w:t>
            </w:r>
          </w:p>
          <w:p>
            <w:pPr>
              <w:widowControl/>
              <w:spacing w:line="240" w:lineRule="auto"/>
              <w:jc w:val="center"/>
              <w:rPr>
                <w:rFonts w:asciiTheme="majorEastAsia" w:hAnsiTheme="majorEastAsia" w:eastAsiaTheme="majorEastAsia"/>
                <w:b/>
                <w:bCs/>
                <w:color w:val="000000"/>
                <w:kern w:val="0"/>
                <w:sz w:val="20"/>
                <w:szCs w:val="20"/>
              </w:rPr>
            </w:pPr>
            <w:r>
              <w:rPr>
                <w:rFonts w:hint="eastAsia" w:asciiTheme="majorEastAsia" w:hAnsiTheme="majorEastAsia" w:eastAsiaTheme="majorEastAsia"/>
                <w:b/>
                <w:bCs/>
                <w:color w:val="000000"/>
                <w:kern w:val="0"/>
                <w:sz w:val="20"/>
                <w:szCs w:val="20"/>
              </w:rPr>
              <w:t>计划投资</w:t>
            </w:r>
            <w:r>
              <w:rPr>
                <w:rFonts w:asciiTheme="majorEastAsia" w:hAnsiTheme="majorEastAsia" w:eastAsiaTheme="majorEastAsia"/>
                <w:b/>
                <w:bCs/>
                <w:color w:val="000000"/>
                <w:kern w:val="0"/>
                <w:sz w:val="20"/>
                <w:szCs w:val="20"/>
              </w:rPr>
              <w:t>(</w:t>
            </w:r>
            <w:r>
              <w:rPr>
                <w:rFonts w:hint="eastAsia" w:asciiTheme="majorEastAsia" w:hAnsiTheme="majorEastAsia" w:eastAsiaTheme="majorEastAsia"/>
                <w:b/>
                <w:bCs/>
                <w:color w:val="000000"/>
                <w:kern w:val="0"/>
                <w:sz w:val="20"/>
                <w:szCs w:val="20"/>
              </w:rPr>
              <w:t>万元</w:t>
            </w:r>
            <w:r>
              <w:rPr>
                <w:rFonts w:asciiTheme="majorEastAsia" w:hAnsiTheme="majorEastAsia" w:eastAsiaTheme="majorEastAsia"/>
                <w:b/>
                <w:bCs/>
                <w:color w:val="000000"/>
                <w:kern w:val="0"/>
                <w:sz w:val="20"/>
                <w:szCs w:val="20"/>
              </w:rPr>
              <w:t>)</w:t>
            </w:r>
          </w:p>
        </w:tc>
      </w:tr>
      <w:tr>
        <w:tblPrEx>
          <w:tblCellMar>
            <w:top w:w="0" w:type="dxa"/>
            <w:left w:w="108" w:type="dxa"/>
            <w:bottom w:w="0" w:type="dxa"/>
            <w:right w:w="108" w:type="dxa"/>
          </w:tblCellMar>
        </w:tblPrEx>
        <w:trPr>
          <w:trHeight w:val="270" w:hRule="atLeast"/>
          <w:jc w:val="center"/>
        </w:trPr>
        <w:tc>
          <w:tcPr>
            <w:tcW w:w="562"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jc w:val="center"/>
              <w:rPr>
                <w:rFonts w:cs="宋体" w:asciiTheme="majorEastAsia" w:hAnsiTheme="majorEastAsia" w:eastAsiaTheme="majorEastAsia"/>
                <w:b/>
                <w:bCs/>
                <w:color w:val="000000"/>
                <w:kern w:val="0"/>
                <w:sz w:val="20"/>
                <w:szCs w:val="20"/>
              </w:rPr>
            </w:pPr>
          </w:p>
        </w:tc>
        <w:tc>
          <w:tcPr>
            <w:tcW w:w="3119"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jc w:val="center"/>
              <w:rPr>
                <w:rFonts w:cs="宋体" w:asciiTheme="majorEastAsia" w:hAnsiTheme="majorEastAsia" w:eastAsiaTheme="majorEastAsia"/>
                <w:b/>
                <w:bCs/>
                <w:color w:val="000000"/>
                <w:kern w:val="0"/>
                <w:sz w:val="20"/>
                <w:szCs w:val="20"/>
              </w:rPr>
            </w:pPr>
          </w:p>
        </w:tc>
        <w:tc>
          <w:tcPr>
            <w:tcW w:w="719"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jc w:val="center"/>
              <w:rPr>
                <w:rFonts w:cs="宋体" w:asciiTheme="majorEastAsia" w:hAnsiTheme="majorEastAsia" w:eastAsiaTheme="majorEastAsia"/>
                <w:b/>
                <w:bCs/>
                <w:color w:val="000000"/>
                <w:kern w:val="0"/>
                <w:sz w:val="20"/>
                <w:szCs w:val="20"/>
              </w:rPr>
            </w:pPr>
          </w:p>
        </w:tc>
        <w:tc>
          <w:tcPr>
            <w:tcW w:w="1549"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jc w:val="center"/>
              <w:rPr>
                <w:rFonts w:cs="宋体" w:asciiTheme="majorEastAsia" w:hAnsiTheme="majorEastAsia" w:eastAsiaTheme="majorEastAsia"/>
                <w:b/>
                <w:bCs/>
                <w:color w:val="000000"/>
                <w:kern w:val="0"/>
                <w:sz w:val="20"/>
                <w:szCs w:val="20"/>
              </w:rPr>
            </w:pPr>
          </w:p>
        </w:tc>
        <w:tc>
          <w:tcPr>
            <w:tcW w:w="1691"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spacing w:line="240" w:lineRule="auto"/>
              <w:jc w:val="center"/>
              <w:rPr>
                <w:rFonts w:cs="宋体" w:asciiTheme="majorEastAsia" w:hAnsiTheme="majorEastAsia" w:eastAsiaTheme="majorEastAsia"/>
                <w:b/>
                <w:bCs/>
                <w:color w:val="000000"/>
                <w:kern w:val="0"/>
                <w:sz w:val="20"/>
                <w:szCs w:val="20"/>
              </w:rPr>
            </w:pPr>
          </w:p>
        </w:tc>
        <w:tc>
          <w:tcPr>
            <w:tcW w:w="1080"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b/>
                <w:bCs/>
                <w:color w:val="000000"/>
                <w:kern w:val="0"/>
                <w:sz w:val="20"/>
                <w:szCs w:val="20"/>
                <w:highlight w:val="yellow"/>
              </w:rPr>
            </w:pPr>
          </w:p>
        </w:tc>
        <w:tc>
          <w:tcPr>
            <w:tcW w:w="1080"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cs="宋体" w:asciiTheme="majorEastAsia" w:hAnsiTheme="majorEastAsia" w:eastAsiaTheme="majorEastAsia"/>
                <w:b/>
                <w:bCs/>
                <w:color w:val="000000"/>
                <w:kern w:val="0"/>
                <w:sz w:val="20"/>
                <w:szCs w:val="20"/>
              </w:rPr>
            </w:pPr>
            <w:r>
              <w:rPr>
                <w:rFonts w:hint="eastAsia" w:cs="宋体" w:asciiTheme="majorEastAsia" w:hAnsiTheme="majorEastAsia" w:eastAsiaTheme="majorEastAsia"/>
                <w:b/>
                <w:bCs/>
                <w:color w:val="000000"/>
                <w:kern w:val="0"/>
                <w:sz w:val="20"/>
                <w:szCs w:val="20"/>
              </w:rPr>
              <w:t>投资</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b/>
                <w:bCs/>
                <w:color w:val="000000"/>
                <w:kern w:val="0"/>
                <w:sz w:val="20"/>
                <w:szCs w:val="20"/>
              </w:rPr>
            </w:pPr>
            <w:r>
              <w:rPr>
                <w:rFonts w:hint="eastAsia" w:cs="宋体" w:asciiTheme="majorEastAsia" w:hAnsiTheme="majorEastAsia" w:eastAsiaTheme="majorEastAsia"/>
                <w:b/>
                <w:bCs/>
                <w:color w:val="000000"/>
                <w:kern w:val="0"/>
                <w:sz w:val="20"/>
                <w:szCs w:val="20"/>
              </w:rPr>
              <w:t>补助</w:t>
            </w:r>
          </w:p>
        </w:tc>
      </w:tr>
      <w:tr>
        <w:tblPrEx>
          <w:tblCellMar>
            <w:top w:w="0" w:type="dxa"/>
            <w:left w:w="108" w:type="dxa"/>
            <w:bottom w:w="0" w:type="dxa"/>
            <w:right w:w="108" w:type="dxa"/>
          </w:tblCellMar>
        </w:tblPrEx>
        <w:trPr>
          <w:trHeight w:val="270" w:hRule="atLeast"/>
          <w:jc w:val="center"/>
        </w:trPr>
        <w:tc>
          <w:tcPr>
            <w:tcW w:w="562"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Theme="majorEastAsia" w:hAnsiTheme="majorEastAsia" w:eastAsiaTheme="majorEastAsia"/>
                <w:b/>
                <w:bCs/>
                <w:color w:val="000000"/>
                <w:kern w:val="0"/>
                <w:sz w:val="20"/>
                <w:szCs w:val="20"/>
              </w:rPr>
            </w:pPr>
          </w:p>
        </w:tc>
        <w:tc>
          <w:tcPr>
            <w:tcW w:w="3119"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cs="宋体" w:asciiTheme="majorEastAsia" w:hAnsiTheme="majorEastAsia" w:eastAsiaTheme="majorEastAsia"/>
                <w:b/>
                <w:bCs/>
                <w:color w:val="000000"/>
                <w:kern w:val="0"/>
                <w:sz w:val="20"/>
                <w:szCs w:val="20"/>
              </w:rPr>
            </w:pPr>
            <w:r>
              <w:rPr>
                <w:rFonts w:hint="eastAsia" w:cs="宋体" w:asciiTheme="majorEastAsia" w:hAnsiTheme="majorEastAsia" w:eastAsiaTheme="majorEastAsia"/>
                <w:b/>
                <w:bCs/>
                <w:color w:val="000000"/>
                <w:kern w:val="0"/>
                <w:sz w:val="20"/>
                <w:szCs w:val="20"/>
              </w:rPr>
              <w:t>合</w:t>
            </w:r>
            <w:r>
              <w:rPr>
                <w:rFonts w:asciiTheme="majorEastAsia" w:hAnsiTheme="majorEastAsia" w:eastAsiaTheme="majorEastAsia"/>
                <w:b/>
                <w:bCs/>
                <w:color w:val="000000"/>
                <w:kern w:val="0"/>
                <w:sz w:val="20"/>
                <w:szCs w:val="20"/>
              </w:rPr>
              <w:t xml:space="preserve">   </w:t>
            </w:r>
            <w:r>
              <w:rPr>
                <w:rFonts w:hint="eastAsia" w:cs="宋体" w:asciiTheme="majorEastAsia" w:hAnsiTheme="majorEastAsia" w:eastAsiaTheme="majorEastAsia"/>
                <w:b/>
                <w:bCs/>
                <w:color w:val="000000"/>
                <w:kern w:val="0"/>
                <w:sz w:val="20"/>
                <w:szCs w:val="20"/>
              </w:rPr>
              <w:t>计</w:t>
            </w:r>
          </w:p>
        </w:tc>
        <w:tc>
          <w:tcPr>
            <w:tcW w:w="719"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heme="majorEastAsia" w:hAnsiTheme="majorEastAsia" w:eastAsiaTheme="majorEastAsia"/>
                <w:b/>
                <w:bCs/>
                <w:color w:val="000000"/>
                <w:kern w:val="0"/>
                <w:sz w:val="20"/>
                <w:szCs w:val="20"/>
              </w:rPr>
            </w:pPr>
          </w:p>
        </w:tc>
        <w:tc>
          <w:tcPr>
            <w:tcW w:w="1549"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heme="majorEastAsia" w:hAnsiTheme="majorEastAsia" w:eastAsiaTheme="majorEastAsia"/>
                <w:b/>
                <w:bCs/>
                <w:color w:val="000000"/>
                <w:kern w:val="0"/>
                <w:sz w:val="20"/>
                <w:szCs w:val="20"/>
              </w:rPr>
            </w:pPr>
            <w:r>
              <w:rPr>
                <w:rFonts w:asciiTheme="majorEastAsia" w:hAnsiTheme="majorEastAsia" w:eastAsiaTheme="majorEastAsia"/>
                <w:b/>
                <w:bCs/>
                <w:color w:val="000000"/>
                <w:kern w:val="0"/>
                <w:sz w:val="20"/>
                <w:szCs w:val="20"/>
              </w:rPr>
              <w:t>410</w:t>
            </w:r>
          </w:p>
        </w:tc>
        <w:tc>
          <w:tcPr>
            <w:tcW w:w="850"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heme="majorEastAsia" w:hAnsiTheme="majorEastAsia" w:eastAsiaTheme="majorEastAsia"/>
                <w:b/>
                <w:bCs/>
                <w:color w:val="000000"/>
                <w:kern w:val="0"/>
                <w:sz w:val="20"/>
                <w:szCs w:val="20"/>
              </w:rPr>
            </w:pPr>
          </w:p>
        </w:tc>
        <w:tc>
          <w:tcPr>
            <w:tcW w:w="841"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heme="majorEastAsia" w:hAnsiTheme="majorEastAsia" w:eastAsiaTheme="majorEastAsia"/>
                <w:b/>
                <w:bCs/>
                <w:color w:val="000000"/>
                <w:kern w:val="0"/>
                <w:sz w:val="20"/>
                <w:szCs w:val="20"/>
              </w:rPr>
            </w:pPr>
          </w:p>
        </w:tc>
        <w:tc>
          <w:tcPr>
            <w:tcW w:w="1080"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heme="majorEastAsia" w:hAnsiTheme="majorEastAsia" w:eastAsiaTheme="majorEastAsia"/>
                <w:b/>
                <w:bCs/>
                <w:kern w:val="0"/>
                <w:sz w:val="20"/>
                <w:szCs w:val="20"/>
              </w:rPr>
            </w:pPr>
            <w:r>
              <w:rPr>
                <w:rFonts w:asciiTheme="majorEastAsia" w:hAnsiTheme="majorEastAsia" w:eastAsiaTheme="majorEastAsia"/>
                <w:b/>
                <w:bCs/>
                <w:kern w:val="0"/>
                <w:sz w:val="20"/>
                <w:szCs w:val="20"/>
              </w:rPr>
              <w:t>7879000</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heme="majorEastAsia" w:hAnsiTheme="majorEastAsia" w:eastAsiaTheme="majorEastAsia"/>
                <w:b/>
                <w:bCs/>
                <w:color w:val="000000"/>
                <w:kern w:val="0"/>
                <w:sz w:val="20"/>
                <w:szCs w:val="20"/>
                <w:highlight w:val="yellow"/>
              </w:rPr>
            </w:pPr>
            <w:r>
              <w:rPr>
                <w:rFonts w:asciiTheme="majorEastAsia" w:hAnsiTheme="majorEastAsia" w:eastAsiaTheme="majorEastAsia"/>
                <w:b/>
                <w:bCs/>
                <w:color w:val="000000"/>
                <w:kern w:val="0"/>
                <w:sz w:val="20"/>
                <w:szCs w:val="20"/>
              </w:rPr>
              <w:t>3814000</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heme="majorEastAsia" w:hAnsiTheme="majorEastAsia" w:eastAsiaTheme="majorEastAsia"/>
                <w:b/>
                <w:bCs/>
                <w:color w:val="000000"/>
                <w:kern w:val="0"/>
                <w:sz w:val="20"/>
                <w:szCs w:val="20"/>
                <w:highlight w:val="yellow"/>
              </w:rPr>
            </w:pPr>
            <w:r>
              <w:rPr>
                <w:rFonts w:asciiTheme="majorEastAsia" w:hAnsiTheme="majorEastAsia" w:eastAsiaTheme="majorEastAsia"/>
                <w:b/>
                <w:bCs/>
                <w:color w:val="000000"/>
                <w:kern w:val="0"/>
                <w:sz w:val="20"/>
                <w:szCs w:val="20"/>
              </w:rPr>
              <w:t>1208000</w:t>
            </w:r>
          </w:p>
        </w:tc>
      </w:tr>
      <w:tr>
        <w:tblPrEx>
          <w:tblCellMar>
            <w:top w:w="0" w:type="dxa"/>
            <w:left w:w="108" w:type="dxa"/>
            <w:bottom w:w="0" w:type="dxa"/>
            <w:right w:w="108" w:type="dxa"/>
          </w:tblCellMar>
        </w:tblPrEx>
        <w:trPr>
          <w:trHeight w:val="270" w:hRule="atLeast"/>
          <w:jc w:val="center"/>
        </w:trPr>
        <w:tc>
          <w:tcPr>
            <w:tcW w:w="3681" w:type="dxa"/>
            <w:gridSpan w:val="2"/>
            <w:tcBorders>
              <w:top w:val="single" w:color="auto" w:sz="4" w:space="0"/>
              <w:left w:val="single" w:color="auto" w:sz="4" w:space="0"/>
              <w:bottom w:val="single" w:color="auto" w:sz="4" w:space="0"/>
              <w:right w:val="single" w:color="000000" w:sz="4" w:space="0"/>
            </w:tcBorders>
            <w:shd w:val="clear" w:color="000000" w:fill="FFFFFF"/>
            <w:noWrap/>
            <w:vAlign w:val="center"/>
          </w:tcPr>
          <w:p>
            <w:pPr>
              <w:widowControl/>
              <w:spacing w:line="240" w:lineRule="auto"/>
              <w:jc w:val="center"/>
              <w:rPr>
                <w:rFonts w:asciiTheme="majorEastAsia" w:hAnsiTheme="majorEastAsia" w:eastAsiaTheme="majorEastAsia"/>
                <w:b/>
                <w:bCs/>
                <w:color w:val="000000"/>
                <w:kern w:val="0"/>
                <w:sz w:val="20"/>
                <w:szCs w:val="20"/>
              </w:rPr>
            </w:pPr>
            <w:r>
              <w:rPr>
                <w:rFonts w:asciiTheme="majorEastAsia" w:hAnsiTheme="majorEastAsia" w:eastAsiaTheme="majorEastAsia"/>
                <w:b/>
                <w:bCs/>
                <w:color w:val="000000"/>
                <w:kern w:val="0"/>
                <w:sz w:val="20"/>
                <w:szCs w:val="20"/>
              </w:rPr>
              <w:t>“</w:t>
            </w:r>
            <w:r>
              <w:rPr>
                <w:rFonts w:hint="eastAsia" w:asciiTheme="majorEastAsia" w:hAnsiTheme="majorEastAsia" w:eastAsiaTheme="majorEastAsia"/>
                <w:b/>
                <w:bCs/>
                <w:color w:val="000000"/>
                <w:kern w:val="0"/>
                <w:sz w:val="20"/>
                <w:szCs w:val="20"/>
              </w:rPr>
              <w:t>十三五</w:t>
            </w:r>
            <w:r>
              <w:rPr>
                <w:rFonts w:asciiTheme="majorEastAsia" w:hAnsiTheme="majorEastAsia" w:eastAsiaTheme="majorEastAsia"/>
                <w:b/>
                <w:bCs/>
                <w:color w:val="000000"/>
                <w:kern w:val="0"/>
                <w:sz w:val="20"/>
                <w:szCs w:val="20"/>
              </w:rPr>
              <w:t>”</w:t>
            </w:r>
            <w:r>
              <w:rPr>
                <w:rFonts w:hint="eastAsia" w:asciiTheme="majorEastAsia" w:hAnsiTheme="majorEastAsia" w:eastAsiaTheme="majorEastAsia"/>
                <w:b/>
                <w:bCs/>
                <w:color w:val="000000"/>
                <w:kern w:val="0"/>
                <w:sz w:val="20"/>
                <w:szCs w:val="20"/>
              </w:rPr>
              <w:t>跨</w:t>
            </w:r>
            <w:r>
              <w:rPr>
                <w:rFonts w:asciiTheme="majorEastAsia" w:hAnsiTheme="majorEastAsia" w:eastAsiaTheme="majorEastAsia"/>
                <w:b/>
                <w:bCs/>
                <w:color w:val="000000"/>
                <w:kern w:val="0"/>
                <w:sz w:val="20"/>
                <w:szCs w:val="20"/>
              </w:rPr>
              <w:t>“</w:t>
            </w:r>
            <w:r>
              <w:rPr>
                <w:rFonts w:hint="eastAsia" w:asciiTheme="majorEastAsia" w:hAnsiTheme="majorEastAsia" w:eastAsiaTheme="majorEastAsia"/>
                <w:b/>
                <w:bCs/>
                <w:color w:val="000000"/>
                <w:kern w:val="0"/>
                <w:sz w:val="20"/>
                <w:szCs w:val="20"/>
              </w:rPr>
              <w:t>十四五</w:t>
            </w:r>
            <w:r>
              <w:rPr>
                <w:rFonts w:asciiTheme="majorEastAsia" w:hAnsiTheme="majorEastAsia" w:eastAsiaTheme="majorEastAsia"/>
                <w:b/>
                <w:bCs/>
                <w:color w:val="000000"/>
                <w:kern w:val="0"/>
                <w:sz w:val="20"/>
                <w:szCs w:val="20"/>
              </w:rPr>
              <w:t>”</w:t>
            </w:r>
            <w:r>
              <w:rPr>
                <w:rFonts w:hint="eastAsia" w:asciiTheme="majorEastAsia" w:hAnsiTheme="majorEastAsia" w:eastAsiaTheme="majorEastAsia"/>
                <w:b/>
                <w:bCs/>
                <w:color w:val="000000"/>
                <w:kern w:val="0"/>
                <w:sz w:val="20"/>
                <w:szCs w:val="20"/>
              </w:rPr>
              <w:t>项目</w:t>
            </w:r>
          </w:p>
        </w:tc>
        <w:tc>
          <w:tcPr>
            <w:tcW w:w="719"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b/>
                <w:bCs/>
                <w:color w:val="000000"/>
                <w:kern w:val="0"/>
                <w:sz w:val="20"/>
                <w:szCs w:val="20"/>
              </w:rPr>
            </w:pPr>
          </w:p>
        </w:tc>
        <w:tc>
          <w:tcPr>
            <w:tcW w:w="1549"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b/>
                <w:bCs/>
                <w:color w:val="000000"/>
                <w:kern w:val="0"/>
                <w:sz w:val="20"/>
                <w:szCs w:val="20"/>
              </w:rPr>
            </w:pPr>
            <w:r>
              <w:rPr>
                <w:rFonts w:asciiTheme="majorEastAsia" w:hAnsiTheme="majorEastAsia" w:eastAsiaTheme="majorEastAsia"/>
                <w:b/>
                <w:bCs/>
                <w:color w:val="000000"/>
                <w:kern w:val="0"/>
                <w:sz w:val="20"/>
                <w:szCs w:val="20"/>
              </w:rPr>
              <w:t>109</w:t>
            </w:r>
          </w:p>
        </w:tc>
        <w:tc>
          <w:tcPr>
            <w:tcW w:w="850"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b/>
                <w:bCs/>
                <w:color w:val="000000"/>
                <w:kern w:val="0"/>
                <w:sz w:val="20"/>
                <w:szCs w:val="20"/>
              </w:rPr>
            </w:pPr>
          </w:p>
        </w:tc>
        <w:tc>
          <w:tcPr>
            <w:tcW w:w="841"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b/>
                <w:bCs/>
                <w:color w:val="000000"/>
                <w:kern w:val="0"/>
                <w:sz w:val="20"/>
                <w:szCs w:val="20"/>
              </w:rPr>
            </w:pPr>
          </w:p>
        </w:tc>
        <w:tc>
          <w:tcPr>
            <w:tcW w:w="1080"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b/>
                <w:bCs/>
                <w:kern w:val="0"/>
                <w:sz w:val="20"/>
                <w:szCs w:val="20"/>
              </w:rPr>
            </w:pPr>
            <w:r>
              <w:rPr>
                <w:rFonts w:asciiTheme="majorEastAsia" w:hAnsiTheme="majorEastAsia" w:eastAsiaTheme="majorEastAsia"/>
                <w:b/>
                <w:bCs/>
                <w:kern w:val="0"/>
                <w:sz w:val="20"/>
                <w:szCs w:val="20"/>
              </w:rPr>
              <w:t>2244000</w:t>
            </w:r>
          </w:p>
        </w:tc>
        <w:tc>
          <w:tcPr>
            <w:tcW w:w="1080" w:type="dxa"/>
            <w:tcBorders>
              <w:top w:val="nil"/>
              <w:left w:val="nil"/>
              <w:bottom w:val="single" w:color="auto" w:sz="4" w:space="0"/>
              <w:right w:val="single" w:color="auto" w:sz="4" w:space="0"/>
            </w:tcBorders>
            <w:shd w:val="clear" w:color="000000" w:fill="FFFFFF"/>
            <w:noWrap/>
            <w:vAlign w:val="center"/>
          </w:tcPr>
          <w:p>
            <w:pPr>
              <w:jc w:val="center"/>
              <w:rPr>
                <w:b/>
                <w:bCs/>
              </w:rPr>
            </w:pPr>
            <w:r>
              <w:rPr>
                <w:rFonts w:asciiTheme="majorEastAsia" w:hAnsiTheme="majorEastAsia" w:eastAsiaTheme="majorEastAsia"/>
                <w:b/>
                <w:bCs/>
                <w:kern w:val="0"/>
                <w:sz w:val="20"/>
                <w:szCs w:val="20"/>
              </w:rPr>
              <w:t>1394000</w:t>
            </w:r>
          </w:p>
        </w:tc>
        <w:tc>
          <w:tcPr>
            <w:tcW w:w="1080"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b/>
                <w:bCs/>
                <w:color w:val="000000"/>
                <w:kern w:val="0"/>
                <w:sz w:val="20"/>
                <w:szCs w:val="20"/>
                <w:highlight w:val="yellow"/>
              </w:rPr>
            </w:pPr>
            <w:r>
              <w:rPr>
                <w:rFonts w:asciiTheme="majorEastAsia" w:hAnsiTheme="majorEastAsia" w:eastAsiaTheme="majorEastAsia"/>
                <w:b/>
                <w:bCs/>
                <w:color w:val="000000"/>
                <w:kern w:val="0"/>
                <w:sz w:val="20"/>
                <w:szCs w:val="20"/>
              </w:rPr>
              <w:t>370000</w:t>
            </w:r>
          </w:p>
        </w:tc>
      </w:tr>
      <w:tr>
        <w:tblPrEx>
          <w:tblCellMar>
            <w:top w:w="0" w:type="dxa"/>
            <w:left w:w="108" w:type="dxa"/>
            <w:bottom w:w="0" w:type="dxa"/>
            <w:right w:w="108" w:type="dxa"/>
          </w:tblCellMar>
        </w:tblPrEx>
        <w:trPr>
          <w:trHeight w:val="270" w:hRule="atLeast"/>
          <w:jc w:val="center"/>
        </w:trPr>
        <w:tc>
          <w:tcPr>
            <w:tcW w:w="562" w:type="dxa"/>
            <w:tcBorders>
              <w:top w:val="nil"/>
              <w:left w:val="single" w:color="auto" w:sz="4" w:space="0"/>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color w:val="000000"/>
                <w:kern w:val="0"/>
                <w:sz w:val="20"/>
                <w:szCs w:val="20"/>
              </w:rPr>
            </w:pPr>
            <w:r>
              <w:rPr>
                <w:rFonts w:asciiTheme="majorEastAsia" w:hAnsiTheme="majorEastAsia" w:eastAsiaTheme="majorEastAsia"/>
                <w:color w:val="000000"/>
                <w:kern w:val="0"/>
                <w:sz w:val="20"/>
                <w:szCs w:val="20"/>
              </w:rPr>
              <w:t>1</w:t>
            </w:r>
          </w:p>
        </w:tc>
        <w:tc>
          <w:tcPr>
            <w:tcW w:w="3119"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纳雍至晴隆高速公路</w:t>
            </w:r>
          </w:p>
        </w:tc>
        <w:tc>
          <w:tcPr>
            <w:tcW w:w="719"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续建</w:t>
            </w:r>
          </w:p>
        </w:tc>
        <w:tc>
          <w:tcPr>
            <w:tcW w:w="1549"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kern w:val="0"/>
                <w:sz w:val="20"/>
                <w:szCs w:val="20"/>
              </w:rPr>
            </w:pPr>
            <w:r>
              <w:rPr>
                <w:rFonts w:asciiTheme="majorEastAsia" w:hAnsiTheme="majorEastAsia" w:eastAsiaTheme="majorEastAsia"/>
                <w:kern w:val="0"/>
                <w:sz w:val="20"/>
                <w:szCs w:val="20"/>
              </w:rPr>
              <w:t>60</w:t>
            </w:r>
          </w:p>
        </w:tc>
        <w:tc>
          <w:tcPr>
            <w:tcW w:w="850"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kern w:val="0"/>
                <w:sz w:val="20"/>
                <w:szCs w:val="20"/>
              </w:rPr>
            </w:pPr>
            <w:r>
              <w:rPr>
                <w:rFonts w:asciiTheme="majorEastAsia" w:hAnsiTheme="majorEastAsia" w:eastAsiaTheme="majorEastAsia"/>
                <w:kern w:val="0"/>
                <w:sz w:val="20"/>
                <w:szCs w:val="20"/>
              </w:rPr>
              <w:t>2020</w:t>
            </w:r>
          </w:p>
        </w:tc>
        <w:tc>
          <w:tcPr>
            <w:tcW w:w="841"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kern w:val="0"/>
                <w:sz w:val="20"/>
                <w:szCs w:val="20"/>
              </w:rPr>
            </w:pPr>
            <w:r>
              <w:rPr>
                <w:rFonts w:asciiTheme="majorEastAsia" w:hAnsiTheme="majorEastAsia" w:eastAsiaTheme="majorEastAsia"/>
                <w:kern w:val="0"/>
                <w:sz w:val="20"/>
                <w:szCs w:val="20"/>
              </w:rPr>
              <w:t>2023</w:t>
            </w:r>
          </w:p>
        </w:tc>
        <w:tc>
          <w:tcPr>
            <w:tcW w:w="1080"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kern w:val="0"/>
                <w:sz w:val="20"/>
                <w:szCs w:val="20"/>
              </w:rPr>
            </w:pPr>
            <w:r>
              <w:rPr>
                <w:rFonts w:asciiTheme="majorEastAsia" w:hAnsiTheme="majorEastAsia" w:eastAsiaTheme="majorEastAsia"/>
                <w:kern w:val="0"/>
                <w:sz w:val="20"/>
                <w:szCs w:val="20"/>
              </w:rPr>
              <w:t>1430000</w:t>
            </w:r>
          </w:p>
        </w:tc>
        <w:tc>
          <w:tcPr>
            <w:tcW w:w="1080"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color w:val="000000"/>
                <w:kern w:val="0"/>
                <w:sz w:val="20"/>
                <w:szCs w:val="20"/>
                <w:highlight w:val="yellow"/>
              </w:rPr>
            </w:pPr>
            <w:r>
              <w:rPr>
                <w:rFonts w:asciiTheme="majorEastAsia" w:hAnsiTheme="majorEastAsia" w:eastAsiaTheme="majorEastAsia"/>
                <w:color w:val="000000"/>
                <w:kern w:val="0"/>
                <w:sz w:val="20"/>
                <w:szCs w:val="20"/>
              </w:rPr>
              <w:t>1120000</w:t>
            </w:r>
          </w:p>
        </w:tc>
        <w:tc>
          <w:tcPr>
            <w:tcW w:w="1080"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color w:val="000000"/>
                <w:kern w:val="0"/>
                <w:sz w:val="20"/>
                <w:szCs w:val="20"/>
                <w:highlight w:val="yellow"/>
              </w:rPr>
            </w:pPr>
            <w:r>
              <w:rPr>
                <w:rFonts w:asciiTheme="majorEastAsia" w:hAnsiTheme="majorEastAsia" w:eastAsiaTheme="majorEastAsia"/>
                <w:color w:val="000000"/>
                <w:kern w:val="0"/>
                <w:sz w:val="20"/>
                <w:szCs w:val="20"/>
              </w:rPr>
              <w:t>370000</w:t>
            </w:r>
          </w:p>
        </w:tc>
      </w:tr>
      <w:tr>
        <w:tblPrEx>
          <w:tblCellMar>
            <w:top w:w="0" w:type="dxa"/>
            <w:left w:w="108" w:type="dxa"/>
            <w:bottom w:w="0" w:type="dxa"/>
            <w:right w:w="108" w:type="dxa"/>
          </w:tblCellMar>
        </w:tblPrEx>
        <w:trPr>
          <w:trHeight w:val="270" w:hRule="atLeast"/>
          <w:jc w:val="center"/>
        </w:trPr>
        <w:tc>
          <w:tcPr>
            <w:tcW w:w="562" w:type="dxa"/>
            <w:tcBorders>
              <w:top w:val="nil"/>
              <w:left w:val="single" w:color="auto" w:sz="4" w:space="0"/>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color w:val="000000"/>
                <w:kern w:val="0"/>
                <w:sz w:val="20"/>
                <w:szCs w:val="20"/>
              </w:rPr>
            </w:pPr>
            <w:r>
              <w:rPr>
                <w:rFonts w:asciiTheme="majorEastAsia" w:hAnsiTheme="majorEastAsia" w:eastAsiaTheme="majorEastAsia"/>
                <w:color w:val="000000"/>
                <w:kern w:val="0"/>
                <w:sz w:val="20"/>
                <w:szCs w:val="20"/>
              </w:rPr>
              <w:t>2</w:t>
            </w:r>
          </w:p>
        </w:tc>
        <w:tc>
          <w:tcPr>
            <w:tcW w:w="3119"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六枝至安龙高速公路</w:t>
            </w:r>
          </w:p>
        </w:tc>
        <w:tc>
          <w:tcPr>
            <w:tcW w:w="719"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续建</w:t>
            </w:r>
          </w:p>
        </w:tc>
        <w:tc>
          <w:tcPr>
            <w:tcW w:w="1549"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kern w:val="0"/>
                <w:sz w:val="20"/>
                <w:szCs w:val="20"/>
              </w:rPr>
            </w:pPr>
            <w:r>
              <w:rPr>
                <w:rFonts w:asciiTheme="majorEastAsia" w:hAnsiTheme="majorEastAsia" w:eastAsiaTheme="majorEastAsia"/>
                <w:kern w:val="0"/>
                <w:sz w:val="20"/>
                <w:szCs w:val="20"/>
              </w:rPr>
              <w:t>20</w:t>
            </w:r>
          </w:p>
        </w:tc>
        <w:tc>
          <w:tcPr>
            <w:tcW w:w="850"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kern w:val="0"/>
                <w:sz w:val="20"/>
                <w:szCs w:val="20"/>
              </w:rPr>
            </w:pPr>
            <w:r>
              <w:rPr>
                <w:rFonts w:asciiTheme="majorEastAsia" w:hAnsiTheme="majorEastAsia" w:eastAsiaTheme="majorEastAsia"/>
                <w:kern w:val="0"/>
                <w:sz w:val="20"/>
                <w:szCs w:val="20"/>
              </w:rPr>
              <w:t>2020</w:t>
            </w:r>
          </w:p>
        </w:tc>
        <w:tc>
          <w:tcPr>
            <w:tcW w:w="841"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kern w:val="0"/>
                <w:sz w:val="20"/>
                <w:szCs w:val="20"/>
              </w:rPr>
            </w:pPr>
            <w:r>
              <w:rPr>
                <w:rFonts w:asciiTheme="majorEastAsia" w:hAnsiTheme="majorEastAsia" w:eastAsiaTheme="majorEastAsia"/>
                <w:kern w:val="0"/>
                <w:sz w:val="20"/>
                <w:szCs w:val="20"/>
              </w:rPr>
              <w:t>2023</w:t>
            </w:r>
          </w:p>
        </w:tc>
        <w:tc>
          <w:tcPr>
            <w:tcW w:w="1080"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kern w:val="0"/>
                <w:sz w:val="20"/>
                <w:szCs w:val="20"/>
              </w:rPr>
            </w:pPr>
            <w:r>
              <w:rPr>
                <w:rFonts w:asciiTheme="majorEastAsia" w:hAnsiTheme="majorEastAsia" w:eastAsiaTheme="majorEastAsia"/>
                <w:kern w:val="0"/>
                <w:sz w:val="20"/>
                <w:szCs w:val="20"/>
              </w:rPr>
              <w:t>365000</w:t>
            </w:r>
          </w:p>
        </w:tc>
        <w:tc>
          <w:tcPr>
            <w:tcW w:w="1080"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color w:val="000000"/>
                <w:kern w:val="0"/>
                <w:sz w:val="20"/>
                <w:szCs w:val="20"/>
                <w:highlight w:val="yellow"/>
              </w:rPr>
            </w:pPr>
            <w:r>
              <w:rPr>
                <w:rFonts w:asciiTheme="majorEastAsia" w:hAnsiTheme="majorEastAsia" w:eastAsiaTheme="majorEastAsia"/>
                <w:color w:val="000000"/>
                <w:kern w:val="0"/>
                <w:sz w:val="20"/>
                <w:szCs w:val="20"/>
              </w:rPr>
              <w:t>254000</w:t>
            </w:r>
          </w:p>
        </w:tc>
        <w:tc>
          <w:tcPr>
            <w:tcW w:w="1080"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color w:val="000000"/>
                <w:kern w:val="0"/>
                <w:sz w:val="20"/>
                <w:szCs w:val="20"/>
                <w:highlight w:val="yellow"/>
              </w:rPr>
            </w:pPr>
          </w:p>
        </w:tc>
      </w:tr>
      <w:tr>
        <w:tblPrEx>
          <w:tblCellMar>
            <w:top w:w="0" w:type="dxa"/>
            <w:left w:w="108" w:type="dxa"/>
            <w:bottom w:w="0" w:type="dxa"/>
            <w:right w:w="108" w:type="dxa"/>
          </w:tblCellMar>
        </w:tblPrEx>
        <w:trPr>
          <w:trHeight w:val="270" w:hRule="atLeast"/>
          <w:jc w:val="center"/>
        </w:trPr>
        <w:tc>
          <w:tcPr>
            <w:tcW w:w="562" w:type="dxa"/>
            <w:tcBorders>
              <w:top w:val="nil"/>
              <w:left w:val="single" w:color="auto" w:sz="4" w:space="0"/>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color w:val="000000"/>
                <w:kern w:val="0"/>
                <w:sz w:val="20"/>
                <w:szCs w:val="20"/>
              </w:rPr>
            </w:pPr>
            <w:r>
              <w:rPr>
                <w:rFonts w:hint="eastAsia" w:asciiTheme="majorEastAsia" w:hAnsiTheme="majorEastAsia" w:eastAsiaTheme="majorEastAsia"/>
                <w:color w:val="000000"/>
                <w:kern w:val="0"/>
                <w:sz w:val="20"/>
                <w:szCs w:val="20"/>
              </w:rPr>
              <w:t>3</w:t>
            </w:r>
          </w:p>
        </w:tc>
        <w:tc>
          <w:tcPr>
            <w:tcW w:w="3119" w:type="dxa"/>
            <w:tcBorders>
              <w:top w:val="nil"/>
              <w:left w:val="nil"/>
              <w:bottom w:val="single" w:color="auto" w:sz="4" w:space="0"/>
              <w:right w:val="single" w:color="auto" w:sz="4" w:space="0"/>
            </w:tcBorders>
            <w:shd w:val="clear" w:color="000000" w:fill="FFFFFF"/>
            <w:vAlign w:val="center"/>
          </w:tcPr>
          <w:p>
            <w:pPr>
              <w:widowControl/>
              <w:spacing w:line="240" w:lineRule="auto"/>
              <w:jc w:val="center"/>
              <w:rPr>
                <w:rFonts w:cs="宋体" w:asciiTheme="majorEastAsia" w:hAnsiTheme="majorEastAsia" w:eastAsiaTheme="majorEastAsia"/>
                <w:color w:val="000000"/>
                <w:kern w:val="0"/>
                <w:sz w:val="20"/>
                <w:szCs w:val="20"/>
              </w:rPr>
            </w:pPr>
            <w:r>
              <w:rPr>
                <w:rFonts w:hint="eastAsia" w:cs="宋体" w:asciiTheme="majorEastAsia" w:hAnsiTheme="majorEastAsia" w:eastAsiaTheme="majorEastAsia"/>
                <w:color w:val="000000"/>
                <w:kern w:val="0"/>
                <w:sz w:val="20"/>
                <w:szCs w:val="20"/>
              </w:rPr>
              <w:t>六盘水至赫章高速公路</w:t>
            </w:r>
          </w:p>
        </w:tc>
        <w:tc>
          <w:tcPr>
            <w:tcW w:w="719" w:type="dxa"/>
            <w:tcBorders>
              <w:top w:val="nil"/>
              <w:left w:val="nil"/>
              <w:bottom w:val="single" w:color="auto" w:sz="4" w:space="0"/>
              <w:right w:val="single" w:color="auto" w:sz="4" w:space="0"/>
            </w:tcBorders>
            <w:shd w:val="clear" w:color="000000" w:fill="FFFFFF"/>
            <w:vAlign w:val="center"/>
          </w:tcPr>
          <w:p>
            <w:pPr>
              <w:widowControl/>
              <w:spacing w:line="240" w:lineRule="auto"/>
              <w:jc w:val="center"/>
              <w:rPr>
                <w:rFonts w:cs="宋体" w:asciiTheme="majorEastAsia" w:hAnsiTheme="majorEastAsia" w:eastAsiaTheme="majorEastAsia"/>
                <w:color w:val="000000"/>
                <w:kern w:val="0"/>
                <w:sz w:val="20"/>
                <w:szCs w:val="20"/>
              </w:rPr>
            </w:pPr>
            <w:r>
              <w:rPr>
                <w:rFonts w:hint="eastAsia" w:cs="宋体" w:asciiTheme="majorEastAsia" w:hAnsiTheme="majorEastAsia" w:eastAsiaTheme="majorEastAsia"/>
                <w:color w:val="000000"/>
                <w:kern w:val="0"/>
                <w:sz w:val="20"/>
                <w:szCs w:val="20"/>
              </w:rPr>
              <w:t>续建</w:t>
            </w:r>
          </w:p>
        </w:tc>
        <w:tc>
          <w:tcPr>
            <w:tcW w:w="1549" w:type="dxa"/>
            <w:tcBorders>
              <w:top w:val="nil"/>
              <w:left w:val="nil"/>
              <w:bottom w:val="single" w:color="auto" w:sz="4" w:space="0"/>
              <w:right w:val="single" w:color="auto" w:sz="4" w:space="0"/>
            </w:tcBorders>
            <w:shd w:val="clear" w:color="000000" w:fill="FFFFFF"/>
            <w:vAlign w:val="center"/>
          </w:tcPr>
          <w:p>
            <w:pPr>
              <w:widowControl/>
              <w:spacing w:line="240" w:lineRule="auto"/>
              <w:jc w:val="center"/>
              <w:rPr>
                <w:rFonts w:asciiTheme="majorEastAsia" w:hAnsiTheme="majorEastAsia" w:eastAsiaTheme="majorEastAsia"/>
                <w:color w:val="000000"/>
                <w:kern w:val="0"/>
                <w:sz w:val="20"/>
                <w:szCs w:val="20"/>
              </w:rPr>
            </w:pPr>
            <w:r>
              <w:rPr>
                <w:rFonts w:hint="eastAsia" w:asciiTheme="majorEastAsia" w:hAnsiTheme="majorEastAsia" w:eastAsiaTheme="majorEastAsia"/>
                <w:color w:val="000000"/>
                <w:kern w:val="0"/>
                <w:sz w:val="20"/>
                <w:szCs w:val="20"/>
              </w:rPr>
              <w:t>2</w:t>
            </w:r>
            <w:r>
              <w:rPr>
                <w:rFonts w:asciiTheme="majorEastAsia" w:hAnsiTheme="majorEastAsia" w:eastAsiaTheme="majorEastAsia"/>
                <w:color w:val="000000"/>
                <w:kern w:val="0"/>
                <w:sz w:val="20"/>
                <w:szCs w:val="20"/>
              </w:rPr>
              <w:t>9</w:t>
            </w:r>
          </w:p>
        </w:tc>
        <w:tc>
          <w:tcPr>
            <w:tcW w:w="850" w:type="dxa"/>
            <w:tcBorders>
              <w:top w:val="nil"/>
              <w:left w:val="nil"/>
              <w:bottom w:val="single" w:color="auto" w:sz="4" w:space="0"/>
              <w:right w:val="single" w:color="auto" w:sz="4" w:space="0"/>
            </w:tcBorders>
            <w:shd w:val="clear" w:color="000000" w:fill="FFFFFF"/>
            <w:vAlign w:val="center"/>
          </w:tcPr>
          <w:p>
            <w:pPr>
              <w:widowControl/>
              <w:spacing w:line="240" w:lineRule="auto"/>
              <w:jc w:val="center"/>
              <w:rPr>
                <w:rFonts w:asciiTheme="majorEastAsia" w:hAnsiTheme="majorEastAsia" w:eastAsiaTheme="majorEastAsia"/>
                <w:color w:val="000000"/>
                <w:kern w:val="0"/>
                <w:sz w:val="20"/>
                <w:szCs w:val="20"/>
              </w:rPr>
            </w:pPr>
            <w:r>
              <w:rPr>
                <w:rFonts w:hint="eastAsia" w:asciiTheme="majorEastAsia" w:hAnsiTheme="majorEastAsia" w:eastAsiaTheme="majorEastAsia"/>
                <w:color w:val="000000"/>
                <w:kern w:val="0"/>
                <w:sz w:val="20"/>
                <w:szCs w:val="20"/>
              </w:rPr>
              <w:t>2</w:t>
            </w:r>
            <w:r>
              <w:rPr>
                <w:rFonts w:asciiTheme="majorEastAsia" w:hAnsiTheme="majorEastAsia" w:eastAsiaTheme="majorEastAsia"/>
                <w:color w:val="000000"/>
                <w:kern w:val="0"/>
                <w:sz w:val="20"/>
                <w:szCs w:val="20"/>
              </w:rPr>
              <w:t>017</w:t>
            </w:r>
          </w:p>
        </w:tc>
        <w:tc>
          <w:tcPr>
            <w:tcW w:w="841" w:type="dxa"/>
            <w:tcBorders>
              <w:top w:val="nil"/>
              <w:left w:val="nil"/>
              <w:bottom w:val="single" w:color="auto" w:sz="4" w:space="0"/>
              <w:right w:val="single" w:color="auto" w:sz="4" w:space="0"/>
            </w:tcBorders>
            <w:shd w:val="clear" w:color="000000" w:fill="FFFFFF"/>
            <w:vAlign w:val="center"/>
          </w:tcPr>
          <w:p>
            <w:pPr>
              <w:widowControl/>
              <w:spacing w:line="240" w:lineRule="auto"/>
              <w:jc w:val="center"/>
              <w:rPr>
                <w:rFonts w:asciiTheme="majorEastAsia" w:hAnsiTheme="majorEastAsia" w:eastAsiaTheme="majorEastAsia"/>
                <w:color w:val="000000"/>
                <w:kern w:val="0"/>
                <w:sz w:val="20"/>
                <w:szCs w:val="20"/>
              </w:rPr>
            </w:pPr>
            <w:r>
              <w:rPr>
                <w:rFonts w:hint="eastAsia" w:asciiTheme="majorEastAsia" w:hAnsiTheme="majorEastAsia" w:eastAsiaTheme="majorEastAsia"/>
                <w:color w:val="000000"/>
                <w:kern w:val="0"/>
                <w:sz w:val="20"/>
                <w:szCs w:val="20"/>
              </w:rPr>
              <w:t>2</w:t>
            </w:r>
            <w:r>
              <w:rPr>
                <w:rFonts w:asciiTheme="majorEastAsia" w:hAnsiTheme="majorEastAsia" w:eastAsiaTheme="majorEastAsia"/>
                <w:color w:val="000000"/>
                <w:kern w:val="0"/>
                <w:sz w:val="20"/>
                <w:szCs w:val="20"/>
              </w:rPr>
              <w:t>021</w:t>
            </w:r>
          </w:p>
        </w:tc>
        <w:tc>
          <w:tcPr>
            <w:tcW w:w="1080"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kern w:val="0"/>
                <w:sz w:val="20"/>
                <w:szCs w:val="20"/>
              </w:rPr>
            </w:pPr>
            <w:r>
              <w:rPr>
                <w:rFonts w:asciiTheme="majorEastAsia" w:hAnsiTheme="majorEastAsia" w:eastAsiaTheme="majorEastAsia"/>
                <w:kern w:val="0"/>
                <w:sz w:val="20"/>
                <w:szCs w:val="20"/>
              </w:rPr>
              <w:t>449000</w:t>
            </w:r>
          </w:p>
        </w:tc>
        <w:tc>
          <w:tcPr>
            <w:tcW w:w="1080"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color w:val="000000"/>
                <w:kern w:val="0"/>
                <w:sz w:val="20"/>
                <w:szCs w:val="20"/>
                <w:highlight w:val="yellow"/>
              </w:rPr>
            </w:pPr>
            <w:r>
              <w:rPr>
                <w:rFonts w:asciiTheme="majorEastAsia" w:hAnsiTheme="majorEastAsia" w:eastAsiaTheme="majorEastAsia"/>
                <w:color w:val="000000"/>
                <w:kern w:val="0"/>
                <w:sz w:val="20"/>
                <w:szCs w:val="20"/>
              </w:rPr>
              <w:t>20000</w:t>
            </w:r>
          </w:p>
        </w:tc>
        <w:tc>
          <w:tcPr>
            <w:tcW w:w="1080"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color w:val="000000"/>
                <w:kern w:val="0"/>
                <w:sz w:val="20"/>
                <w:szCs w:val="20"/>
                <w:highlight w:val="yellow"/>
              </w:rPr>
            </w:pPr>
          </w:p>
        </w:tc>
      </w:tr>
      <w:tr>
        <w:tblPrEx>
          <w:tblCellMar>
            <w:top w:w="0" w:type="dxa"/>
            <w:left w:w="108" w:type="dxa"/>
            <w:bottom w:w="0" w:type="dxa"/>
            <w:right w:w="108" w:type="dxa"/>
          </w:tblCellMar>
        </w:tblPrEx>
        <w:trPr>
          <w:trHeight w:val="270" w:hRule="atLeast"/>
          <w:jc w:val="center"/>
        </w:trPr>
        <w:tc>
          <w:tcPr>
            <w:tcW w:w="3681" w:type="dxa"/>
            <w:gridSpan w:val="2"/>
            <w:tcBorders>
              <w:top w:val="single" w:color="auto" w:sz="4" w:space="0"/>
              <w:left w:val="single" w:color="auto" w:sz="4" w:space="0"/>
              <w:bottom w:val="single" w:color="auto" w:sz="4" w:space="0"/>
              <w:right w:val="single" w:color="000000" w:sz="4" w:space="0"/>
            </w:tcBorders>
            <w:shd w:val="clear" w:color="000000" w:fill="FFFFFF"/>
            <w:noWrap/>
            <w:vAlign w:val="center"/>
          </w:tcPr>
          <w:p>
            <w:pPr>
              <w:widowControl/>
              <w:spacing w:line="240" w:lineRule="auto"/>
              <w:jc w:val="center"/>
              <w:rPr>
                <w:rFonts w:asciiTheme="majorEastAsia" w:hAnsiTheme="majorEastAsia" w:eastAsiaTheme="majorEastAsia"/>
                <w:b/>
                <w:bCs/>
                <w:color w:val="000000"/>
                <w:kern w:val="0"/>
                <w:sz w:val="20"/>
                <w:szCs w:val="20"/>
              </w:rPr>
            </w:pPr>
            <w:r>
              <w:rPr>
                <w:rFonts w:asciiTheme="majorEastAsia" w:hAnsiTheme="majorEastAsia" w:eastAsiaTheme="majorEastAsia"/>
                <w:b/>
                <w:bCs/>
                <w:color w:val="000000"/>
                <w:kern w:val="0"/>
                <w:sz w:val="20"/>
                <w:szCs w:val="20"/>
              </w:rPr>
              <w:t>“</w:t>
            </w:r>
            <w:r>
              <w:rPr>
                <w:rFonts w:hint="eastAsia" w:asciiTheme="majorEastAsia" w:hAnsiTheme="majorEastAsia" w:eastAsiaTheme="majorEastAsia"/>
                <w:b/>
                <w:bCs/>
                <w:color w:val="000000"/>
                <w:kern w:val="0"/>
                <w:sz w:val="20"/>
                <w:szCs w:val="20"/>
              </w:rPr>
              <w:t>十四五</w:t>
            </w:r>
            <w:r>
              <w:rPr>
                <w:rFonts w:asciiTheme="majorEastAsia" w:hAnsiTheme="majorEastAsia" w:eastAsiaTheme="majorEastAsia"/>
                <w:b/>
                <w:bCs/>
                <w:color w:val="000000"/>
                <w:kern w:val="0"/>
                <w:sz w:val="20"/>
                <w:szCs w:val="20"/>
              </w:rPr>
              <w:t>”</w:t>
            </w:r>
            <w:r>
              <w:rPr>
                <w:rFonts w:hint="eastAsia" w:asciiTheme="majorEastAsia" w:hAnsiTheme="majorEastAsia" w:eastAsiaTheme="majorEastAsia"/>
                <w:b/>
                <w:bCs/>
                <w:color w:val="000000"/>
                <w:kern w:val="0"/>
                <w:sz w:val="20"/>
                <w:szCs w:val="20"/>
              </w:rPr>
              <w:t>新开工项目</w:t>
            </w:r>
          </w:p>
        </w:tc>
        <w:tc>
          <w:tcPr>
            <w:tcW w:w="719"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b/>
                <w:bCs/>
                <w:color w:val="000000"/>
                <w:kern w:val="0"/>
                <w:sz w:val="20"/>
                <w:szCs w:val="20"/>
              </w:rPr>
            </w:pPr>
          </w:p>
        </w:tc>
        <w:tc>
          <w:tcPr>
            <w:tcW w:w="1549"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b/>
                <w:bCs/>
                <w:color w:val="000000"/>
                <w:kern w:val="0"/>
                <w:sz w:val="20"/>
                <w:szCs w:val="20"/>
              </w:rPr>
            </w:pPr>
            <w:r>
              <w:rPr>
                <w:rFonts w:asciiTheme="majorEastAsia" w:hAnsiTheme="majorEastAsia" w:eastAsiaTheme="majorEastAsia"/>
                <w:b/>
                <w:bCs/>
                <w:color w:val="000000"/>
                <w:kern w:val="0"/>
                <w:sz w:val="20"/>
                <w:szCs w:val="20"/>
              </w:rPr>
              <w:t>94</w:t>
            </w:r>
          </w:p>
        </w:tc>
        <w:tc>
          <w:tcPr>
            <w:tcW w:w="850"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b/>
                <w:bCs/>
                <w:color w:val="000000"/>
                <w:kern w:val="0"/>
                <w:sz w:val="20"/>
                <w:szCs w:val="20"/>
              </w:rPr>
            </w:pPr>
          </w:p>
        </w:tc>
        <w:tc>
          <w:tcPr>
            <w:tcW w:w="841"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b/>
                <w:bCs/>
                <w:color w:val="000000"/>
                <w:kern w:val="0"/>
                <w:sz w:val="20"/>
                <w:szCs w:val="20"/>
              </w:rPr>
            </w:pPr>
          </w:p>
        </w:tc>
        <w:tc>
          <w:tcPr>
            <w:tcW w:w="1080"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b/>
                <w:bCs/>
                <w:kern w:val="0"/>
                <w:sz w:val="20"/>
                <w:szCs w:val="20"/>
              </w:rPr>
            </w:pPr>
            <w:r>
              <w:rPr>
                <w:rFonts w:asciiTheme="majorEastAsia" w:hAnsiTheme="majorEastAsia" w:eastAsiaTheme="majorEastAsia"/>
                <w:b/>
                <w:bCs/>
                <w:kern w:val="0"/>
                <w:sz w:val="20"/>
                <w:szCs w:val="20"/>
              </w:rPr>
              <w:t>2420000</w:t>
            </w:r>
          </w:p>
        </w:tc>
        <w:tc>
          <w:tcPr>
            <w:tcW w:w="1080"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b/>
                <w:bCs/>
              </w:rPr>
            </w:pPr>
            <w:r>
              <w:rPr>
                <w:rFonts w:asciiTheme="majorEastAsia" w:hAnsiTheme="majorEastAsia" w:eastAsiaTheme="majorEastAsia"/>
                <w:b/>
                <w:bCs/>
                <w:color w:val="000000"/>
                <w:kern w:val="0"/>
                <w:sz w:val="20"/>
                <w:szCs w:val="20"/>
              </w:rPr>
              <w:t>2420000</w:t>
            </w:r>
          </w:p>
        </w:tc>
        <w:tc>
          <w:tcPr>
            <w:tcW w:w="1080"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b/>
                <w:bCs/>
                <w:color w:val="000000"/>
                <w:kern w:val="0"/>
                <w:sz w:val="20"/>
                <w:szCs w:val="20"/>
                <w:highlight w:val="yellow"/>
              </w:rPr>
            </w:pPr>
            <w:r>
              <w:rPr>
                <w:rFonts w:asciiTheme="majorEastAsia" w:hAnsiTheme="majorEastAsia" w:eastAsiaTheme="majorEastAsia"/>
                <w:b/>
                <w:bCs/>
                <w:color w:val="000000"/>
                <w:kern w:val="0"/>
                <w:sz w:val="20"/>
                <w:szCs w:val="20"/>
              </w:rPr>
              <w:t>838000</w:t>
            </w:r>
          </w:p>
        </w:tc>
      </w:tr>
      <w:tr>
        <w:tblPrEx>
          <w:tblCellMar>
            <w:top w:w="0" w:type="dxa"/>
            <w:left w:w="108" w:type="dxa"/>
            <w:bottom w:w="0" w:type="dxa"/>
            <w:right w:w="108" w:type="dxa"/>
          </w:tblCellMar>
        </w:tblPrEx>
        <w:trPr>
          <w:trHeight w:val="270" w:hRule="atLeast"/>
          <w:jc w:val="center"/>
        </w:trPr>
        <w:tc>
          <w:tcPr>
            <w:tcW w:w="562"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jc w:val="center"/>
              <w:rPr>
                <w:rFonts w:asciiTheme="majorEastAsia" w:hAnsiTheme="majorEastAsia" w:eastAsiaTheme="majorEastAsia"/>
                <w:color w:val="000000"/>
                <w:kern w:val="0"/>
                <w:sz w:val="20"/>
                <w:szCs w:val="20"/>
              </w:rPr>
            </w:pPr>
            <w:r>
              <w:rPr>
                <w:rFonts w:asciiTheme="majorEastAsia" w:hAnsiTheme="majorEastAsia" w:eastAsiaTheme="majorEastAsia"/>
                <w:color w:val="000000"/>
                <w:kern w:val="0"/>
                <w:sz w:val="20"/>
                <w:szCs w:val="20"/>
              </w:rPr>
              <w:t>1</w:t>
            </w:r>
          </w:p>
        </w:tc>
        <w:tc>
          <w:tcPr>
            <w:tcW w:w="3119"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安顺至盘州高速公路</w:t>
            </w:r>
          </w:p>
        </w:tc>
        <w:tc>
          <w:tcPr>
            <w:tcW w:w="719"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新建</w:t>
            </w:r>
          </w:p>
        </w:tc>
        <w:tc>
          <w:tcPr>
            <w:tcW w:w="1549"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kern w:val="0"/>
                <w:sz w:val="20"/>
                <w:szCs w:val="20"/>
              </w:rPr>
            </w:pPr>
            <w:r>
              <w:rPr>
                <w:rFonts w:asciiTheme="majorEastAsia" w:hAnsiTheme="majorEastAsia" w:eastAsiaTheme="majorEastAsia"/>
                <w:kern w:val="0"/>
                <w:sz w:val="20"/>
                <w:szCs w:val="20"/>
              </w:rPr>
              <w:t>94</w:t>
            </w:r>
          </w:p>
        </w:tc>
        <w:tc>
          <w:tcPr>
            <w:tcW w:w="850"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kern w:val="0"/>
                <w:sz w:val="20"/>
                <w:szCs w:val="20"/>
              </w:rPr>
            </w:pPr>
            <w:r>
              <w:rPr>
                <w:rFonts w:asciiTheme="majorEastAsia" w:hAnsiTheme="majorEastAsia" w:eastAsiaTheme="majorEastAsia"/>
                <w:kern w:val="0"/>
                <w:sz w:val="20"/>
                <w:szCs w:val="20"/>
              </w:rPr>
              <w:t>2021</w:t>
            </w:r>
          </w:p>
        </w:tc>
        <w:tc>
          <w:tcPr>
            <w:tcW w:w="841"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kern w:val="0"/>
                <w:sz w:val="20"/>
                <w:szCs w:val="20"/>
              </w:rPr>
            </w:pPr>
            <w:r>
              <w:rPr>
                <w:rFonts w:asciiTheme="majorEastAsia" w:hAnsiTheme="majorEastAsia" w:eastAsiaTheme="majorEastAsia"/>
                <w:kern w:val="0"/>
                <w:sz w:val="20"/>
                <w:szCs w:val="20"/>
              </w:rPr>
              <w:t>2024</w:t>
            </w:r>
          </w:p>
        </w:tc>
        <w:tc>
          <w:tcPr>
            <w:tcW w:w="1080" w:type="dxa"/>
            <w:tcBorders>
              <w:top w:val="nil"/>
              <w:left w:val="nil"/>
              <w:bottom w:val="single" w:color="auto" w:sz="4" w:space="0"/>
              <w:right w:val="single" w:color="auto" w:sz="4" w:space="0"/>
            </w:tcBorders>
            <w:shd w:val="clear" w:color="000000" w:fill="FFFFFF"/>
            <w:vAlign w:val="center"/>
          </w:tcPr>
          <w:p>
            <w:pPr>
              <w:widowControl/>
              <w:spacing w:line="240" w:lineRule="auto"/>
              <w:jc w:val="center"/>
              <w:rPr>
                <w:rFonts w:asciiTheme="majorEastAsia" w:hAnsiTheme="majorEastAsia" w:eastAsiaTheme="majorEastAsia"/>
                <w:kern w:val="0"/>
                <w:sz w:val="20"/>
                <w:szCs w:val="20"/>
              </w:rPr>
            </w:pPr>
            <w:r>
              <w:rPr>
                <w:rFonts w:asciiTheme="majorEastAsia" w:hAnsiTheme="majorEastAsia" w:eastAsiaTheme="majorEastAsia"/>
                <w:kern w:val="0"/>
                <w:sz w:val="20"/>
                <w:szCs w:val="20"/>
              </w:rPr>
              <w:t>2420000</w:t>
            </w:r>
          </w:p>
        </w:tc>
        <w:tc>
          <w:tcPr>
            <w:tcW w:w="1080" w:type="dxa"/>
            <w:tcBorders>
              <w:top w:val="nil"/>
              <w:left w:val="nil"/>
              <w:bottom w:val="single" w:color="auto" w:sz="4" w:space="0"/>
              <w:right w:val="single" w:color="auto" w:sz="4" w:space="0"/>
            </w:tcBorders>
            <w:shd w:val="clear" w:color="000000" w:fill="FFFFFF"/>
            <w:vAlign w:val="center"/>
          </w:tcPr>
          <w:p>
            <w:pPr>
              <w:widowControl/>
              <w:spacing w:line="240" w:lineRule="auto"/>
              <w:jc w:val="center"/>
              <w:rPr>
                <w:rFonts w:asciiTheme="majorEastAsia" w:hAnsiTheme="majorEastAsia" w:eastAsiaTheme="majorEastAsia"/>
                <w:color w:val="000000"/>
                <w:kern w:val="0"/>
                <w:sz w:val="20"/>
                <w:szCs w:val="20"/>
                <w:highlight w:val="yellow"/>
              </w:rPr>
            </w:pPr>
            <w:r>
              <w:rPr>
                <w:rFonts w:asciiTheme="majorEastAsia" w:hAnsiTheme="majorEastAsia" w:eastAsiaTheme="majorEastAsia"/>
                <w:color w:val="000000"/>
                <w:kern w:val="0"/>
                <w:sz w:val="20"/>
                <w:szCs w:val="20"/>
              </w:rPr>
              <w:t>2420000</w:t>
            </w:r>
          </w:p>
        </w:tc>
        <w:tc>
          <w:tcPr>
            <w:tcW w:w="1080" w:type="dxa"/>
            <w:tcBorders>
              <w:top w:val="nil"/>
              <w:left w:val="nil"/>
              <w:bottom w:val="single" w:color="auto" w:sz="4" w:space="0"/>
              <w:right w:val="single" w:color="auto" w:sz="4" w:space="0"/>
            </w:tcBorders>
            <w:shd w:val="clear" w:color="000000" w:fill="FFFFFF"/>
            <w:vAlign w:val="center"/>
          </w:tcPr>
          <w:p>
            <w:pPr>
              <w:widowControl/>
              <w:spacing w:line="240" w:lineRule="auto"/>
              <w:jc w:val="center"/>
              <w:rPr>
                <w:rFonts w:asciiTheme="majorEastAsia" w:hAnsiTheme="majorEastAsia" w:eastAsiaTheme="majorEastAsia"/>
                <w:color w:val="000000"/>
                <w:kern w:val="0"/>
                <w:sz w:val="20"/>
                <w:szCs w:val="20"/>
                <w:highlight w:val="yellow"/>
              </w:rPr>
            </w:pPr>
            <w:r>
              <w:rPr>
                <w:rFonts w:asciiTheme="majorEastAsia" w:hAnsiTheme="majorEastAsia" w:eastAsiaTheme="majorEastAsia"/>
                <w:color w:val="000000"/>
                <w:kern w:val="0"/>
                <w:sz w:val="20"/>
                <w:szCs w:val="20"/>
              </w:rPr>
              <w:t>838000</w:t>
            </w:r>
          </w:p>
        </w:tc>
      </w:tr>
      <w:tr>
        <w:tblPrEx>
          <w:tblCellMar>
            <w:top w:w="0" w:type="dxa"/>
            <w:left w:w="108" w:type="dxa"/>
            <w:bottom w:w="0" w:type="dxa"/>
            <w:right w:w="108" w:type="dxa"/>
          </w:tblCellMar>
        </w:tblPrEx>
        <w:trPr>
          <w:trHeight w:val="270" w:hRule="atLeast"/>
          <w:jc w:val="center"/>
        </w:trPr>
        <w:tc>
          <w:tcPr>
            <w:tcW w:w="3681" w:type="dxa"/>
            <w:gridSpan w:val="2"/>
            <w:tcBorders>
              <w:top w:val="single" w:color="auto" w:sz="4" w:space="0"/>
              <w:left w:val="single" w:color="auto" w:sz="4" w:space="0"/>
              <w:bottom w:val="single" w:color="auto" w:sz="4" w:space="0"/>
              <w:right w:val="single" w:color="000000" w:sz="4" w:space="0"/>
            </w:tcBorders>
            <w:shd w:val="clear" w:color="000000" w:fill="FFFFFF"/>
            <w:noWrap/>
            <w:vAlign w:val="center"/>
          </w:tcPr>
          <w:p>
            <w:pPr>
              <w:widowControl/>
              <w:spacing w:line="240" w:lineRule="auto"/>
              <w:jc w:val="center"/>
              <w:rPr>
                <w:rFonts w:asciiTheme="majorEastAsia" w:hAnsiTheme="majorEastAsia" w:eastAsiaTheme="majorEastAsia"/>
                <w:b/>
                <w:bCs/>
                <w:color w:val="000000"/>
                <w:kern w:val="0"/>
                <w:sz w:val="20"/>
                <w:szCs w:val="20"/>
              </w:rPr>
            </w:pPr>
            <w:r>
              <w:rPr>
                <w:rFonts w:asciiTheme="majorEastAsia" w:hAnsiTheme="majorEastAsia" w:eastAsiaTheme="majorEastAsia"/>
                <w:b/>
                <w:bCs/>
                <w:color w:val="000000"/>
                <w:kern w:val="0"/>
                <w:sz w:val="20"/>
                <w:szCs w:val="20"/>
              </w:rPr>
              <w:t>“</w:t>
            </w:r>
            <w:r>
              <w:rPr>
                <w:rFonts w:hint="eastAsia" w:asciiTheme="majorEastAsia" w:hAnsiTheme="majorEastAsia" w:eastAsiaTheme="majorEastAsia"/>
                <w:b/>
                <w:bCs/>
                <w:color w:val="000000"/>
                <w:kern w:val="0"/>
                <w:sz w:val="20"/>
                <w:szCs w:val="20"/>
              </w:rPr>
              <w:t>十四五</w:t>
            </w:r>
            <w:r>
              <w:rPr>
                <w:rFonts w:asciiTheme="majorEastAsia" w:hAnsiTheme="majorEastAsia" w:eastAsiaTheme="majorEastAsia"/>
                <w:b/>
                <w:bCs/>
                <w:color w:val="000000"/>
                <w:kern w:val="0"/>
                <w:sz w:val="20"/>
                <w:szCs w:val="20"/>
              </w:rPr>
              <w:t>”</w:t>
            </w:r>
            <w:r>
              <w:rPr>
                <w:rFonts w:hint="eastAsia" w:asciiTheme="majorEastAsia" w:hAnsiTheme="majorEastAsia" w:eastAsiaTheme="majorEastAsia"/>
                <w:b/>
                <w:bCs/>
                <w:color w:val="000000"/>
                <w:kern w:val="0"/>
                <w:sz w:val="20"/>
                <w:szCs w:val="20"/>
              </w:rPr>
              <w:t>储备项目</w:t>
            </w:r>
          </w:p>
        </w:tc>
        <w:tc>
          <w:tcPr>
            <w:tcW w:w="719"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cs="宋体" w:asciiTheme="majorEastAsia" w:hAnsiTheme="majorEastAsia" w:eastAsiaTheme="majorEastAsia"/>
                <w:kern w:val="0"/>
                <w:sz w:val="20"/>
                <w:szCs w:val="20"/>
              </w:rPr>
            </w:pPr>
          </w:p>
        </w:tc>
        <w:tc>
          <w:tcPr>
            <w:tcW w:w="1549"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b/>
                <w:bCs/>
                <w:kern w:val="0"/>
                <w:sz w:val="20"/>
                <w:szCs w:val="20"/>
              </w:rPr>
            </w:pPr>
            <w:r>
              <w:rPr>
                <w:rFonts w:asciiTheme="majorEastAsia" w:hAnsiTheme="majorEastAsia" w:eastAsiaTheme="majorEastAsia"/>
                <w:b/>
                <w:bCs/>
                <w:kern w:val="0"/>
                <w:sz w:val="20"/>
                <w:szCs w:val="20"/>
              </w:rPr>
              <w:t>126</w:t>
            </w:r>
          </w:p>
        </w:tc>
        <w:tc>
          <w:tcPr>
            <w:tcW w:w="850"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kern w:val="0"/>
                <w:sz w:val="20"/>
                <w:szCs w:val="20"/>
              </w:rPr>
            </w:pPr>
          </w:p>
        </w:tc>
        <w:tc>
          <w:tcPr>
            <w:tcW w:w="841"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kern w:val="0"/>
                <w:sz w:val="20"/>
                <w:szCs w:val="20"/>
              </w:rPr>
            </w:pPr>
          </w:p>
        </w:tc>
        <w:tc>
          <w:tcPr>
            <w:tcW w:w="1080" w:type="dxa"/>
            <w:tcBorders>
              <w:top w:val="nil"/>
              <w:left w:val="nil"/>
              <w:bottom w:val="single" w:color="auto" w:sz="4" w:space="0"/>
              <w:right w:val="single" w:color="auto" w:sz="4" w:space="0"/>
            </w:tcBorders>
            <w:shd w:val="clear" w:color="000000" w:fill="FFFFFF"/>
            <w:vAlign w:val="center"/>
          </w:tcPr>
          <w:p>
            <w:pPr>
              <w:widowControl/>
              <w:spacing w:line="240" w:lineRule="auto"/>
              <w:jc w:val="center"/>
              <w:rPr>
                <w:rFonts w:asciiTheme="majorEastAsia" w:hAnsiTheme="majorEastAsia" w:eastAsiaTheme="majorEastAsia"/>
                <w:b/>
                <w:bCs/>
                <w:kern w:val="0"/>
                <w:sz w:val="20"/>
                <w:szCs w:val="20"/>
              </w:rPr>
            </w:pPr>
            <w:r>
              <w:rPr>
                <w:rFonts w:asciiTheme="majorEastAsia" w:hAnsiTheme="majorEastAsia" w:eastAsiaTheme="majorEastAsia"/>
                <w:b/>
                <w:bCs/>
                <w:kern w:val="0"/>
                <w:sz w:val="20"/>
                <w:szCs w:val="20"/>
              </w:rPr>
              <w:t>1930000</w:t>
            </w:r>
          </w:p>
        </w:tc>
        <w:tc>
          <w:tcPr>
            <w:tcW w:w="1080" w:type="dxa"/>
            <w:tcBorders>
              <w:top w:val="nil"/>
              <w:left w:val="nil"/>
              <w:bottom w:val="single" w:color="auto" w:sz="4" w:space="0"/>
              <w:right w:val="single" w:color="auto" w:sz="4" w:space="0"/>
            </w:tcBorders>
            <w:shd w:val="clear" w:color="000000" w:fill="FFFFFF"/>
            <w:vAlign w:val="center"/>
          </w:tcPr>
          <w:p>
            <w:pPr>
              <w:jc w:val="center"/>
            </w:pPr>
          </w:p>
        </w:tc>
        <w:tc>
          <w:tcPr>
            <w:tcW w:w="1080" w:type="dxa"/>
            <w:tcBorders>
              <w:top w:val="nil"/>
              <w:left w:val="nil"/>
              <w:bottom w:val="single" w:color="auto" w:sz="4" w:space="0"/>
              <w:right w:val="single" w:color="auto" w:sz="4" w:space="0"/>
            </w:tcBorders>
            <w:shd w:val="clear" w:color="000000" w:fill="FFFFFF"/>
            <w:vAlign w:val="center"/>
          </w:tcPr>
          <w:p>
            <w:pPr>
              <w:widowControl/>
              <w:spacing w:line="240" w:lineRule="auto"/>
              <w:jc w:val="center"/>
              <w:rPr>
                <w:rFonts w:asciiTheme="majorEastAsia" w:hAnsiTheme="majorEastAsia" w:eastAsiaTheme="majorEastAsia"/>
                <w:color w:val="000000"/>
                <w:kern w:val="0"/>
                <w:sz w:val="20"/>
                <w:szCs w:val="20"/>
                <w:highlight w:val="yellow"/>
              </w:rPr>
            </w:pPr>
          </w:p>
        </w:tc>
      </w:tr>
      <w:tr>
        <w:tblPrEx>
          <w:tblCellMar>
            <w:top w:w="0" w:type="dxa"/>
            <w:left w:w="108" w:type="dxa"/>
            <w:bottom w:w="0" w:type="dxa"/>
            <w:right w:w="108" w:type="dxa"/>
          </w:tblCellMar>
        </w:tblPrEx>
        <w:trPr>
          <w:trHeight w:val="270" w:hRule="atLeast"/>
          <w:jc w:val="center"/>
        </w:trPr>
        <w:tc>
          <w:tcPr>
            <w:tcW w:w="562"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jc w:val="center"/>
              <w:rPr>
                <w:rFonts w:asciiTheme="majorEastAsia" w:hAnsiTheme="majorEastAsia" w:eastAsiaTheme="majorEastAsia"/>
                <w:color w:val="000000"/>
                <w:kern w:val="0"/>
                <w:sz w:val="20"/>
                <w:szCs w:val="20"/>
              </w:rPr>
            </w:pPr>
            <w:r>
              <w:rPr>
                <w:rFonts w:asciiTheme="majorEastAsia" w:hAnsiTheme="majorEastAsia" w:eastAsiaTheme="majorEastAsia"/>
                <w:color w:val="000000"/>
                <w:kern w:val="0"/>
                <w:sz w:val="20"/>
                <w:szCs w:val="20"/>
              </w:rPr>
              <w:t>1</w:t>
            </w:r>
          </w:p>
        </w:tc>
        <w:tc>
          <w:tcPr>
            <w:tcW w:w="3119" w:type="dxa"/>
            <w:tcBorders>
              <w:top w:val="nil"/>
              <w:left w:val="nil"/>
              <w:bottom w:val="single" w:color="auto" w:sz="4" w:space="0"/>
              <w:right w:val="single" w:color="auto" w:sz="4" w:space="0"/>
            </w:tcBorders>
            <w:shd w:val="clear" w:color="000000" w:fill="FFFFFF"/>
            <w:vAlign w:val="center"/>
          </w:tcPr>
          <w:p>
            <w:pPr>
              <w:widowControl/>
              <w:spacing w:line="240" w:lineRule="auto"/>
              <w:jc w:val="center"/>
              <w:rPr>
                <w:rFonts w:cs="宋体" w:asciiTheme="majorEastAsia" w:hAnsiTheme="majorEastAsia" w:eastAsiaTheme="majorEastAsia"/>
                <w:color w:val="000000"/>
                <w:kern w:val="0"/>
                <w:sz w:val="20"/>
                <w:szCs w:val="20"/>
              </w:rPr>
            </w:pPr>
            <w:r>
              <w:rPr>
                <w:rFonts w:hint="eastAsia" w:cs="宋体" w:asciiTheme="majorEastAsia" w:hAnsiTheme="majorEastAsia" w:eastAsiaTheme="majorEastAsia"/>
                <w:kern w:val="0"/>
                <w:sz w:val="20"/>
                <w:szCs w:val="20"/>
              </w:rPr>
              <w:t>玉舍至普田高速公路</w:t>
            </w:r>
          </w:p>
        </w:tc>
        <w:tc>
          <w:tcPr>
            <w:tcW w:w="719"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新建</w:t>
            </w:r>
          </w:p>
        </w:tc>
        <w:tc>
          <w:tcPr>
            <w:tcW w:w="1549"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color w:val="000000"/>
                <w:kern w:val="0"/>
                <w:sz w:val="20"/>
                <w:szCs w:val="20"/>
              </w:rPr>
            </w:pPr>
            <w:r>
              <w:rPr>
                <w:rFonts w:asciiTheme="majorEastAsia" w:hAnsiTheme="majorEastAsia" w:eastAsiaTheme="majorEastAsia"/>
                <w:kern w:val="0"/>
                <w:sz w:val="20"/>
                <w:szCs w:val="20"/>
              </w:rPr>
              <w:t>126</w:t>
            </w:r>
          </w:p>
        </w:tc>
        <w:tc>
          <w:tcPr>
            <w:tcW w:w="850" w:type="dxa"/>
            <w:tcBorders>
              <w:top w:val="nil"/>
              <w:left w:val="nil"/>
              <w:bottom w:val="single" w:color="auto" w:sz="4" w:space="0"/>
              <w:right w:val="single" w:color="auto" w:sz="4" w:space="0"/>
            </w:tcBorders>
            <w:shd w:val="clear" w:color="000000" w:fill="FFFFFF"/>
            <w:vAlign w:val="center"/>
          </w:tcPr>
          <w:p>
            <w:pPr>
              <w:widowControl/>
              <w:spacing w:line="240" w:lineRule="auto"/>
              <w:jc w:val="center"/>
              <w:rPr>
                <w:rFonts w:asciiTheme="majorEastAsia" w:hAnsiTheme="majorEastAsia" w:eastAsiaTheme="majorEastAsia"/>
                <w:color w:val="000000"/>
                <w:kern w:val="0"/>
                <w:sz w:val="20"/>
                <w:szCs w:val="20"/>
              </w:rPr>
            </w:pPr>
            <w:r>
              <w:rPr>
                <w:rFonts w:asciiTheme="majorEastAsia" w:hAnsiTheme="majorEastAsia" w:eastAsiaTheme="majorEastAsia"/>
                <w:kern w:val="0"/>
                <w:sz w:val="20"/>
                <w:szCs w:val="20"/>
              </w:rPr>
              <w:t>2023</w:t>
            </w:r>
          </w:p>
        </w:tc>
        <w:tc>
          <w:tcPr>
            <w:tcW w:w="841" w:type="dxa"/>
            <w:tcBorders>
              <w:top w:val="nil"/>
              <w:left w:val="nil"/>
              <w:bottom w:val="single" w:color="auto" w:sz="4" w:space="0"/>
              <w:right w:val="single" w:color="auto" w:sz="4" w:space="0"/>
            </w:tcBorders>
            <w:shd w:val="clear" w:color="000000" w:fill="FFFFFF"/>
            <w:vAlign w:val="center"/>
          </w:tcPr>
          <w:p>
            <w:pPr>
              <w:widowControl/>
              <w:spacing w:line="240" w:lineRule="auto"/>
              <w:jc w:val="center"/>
              <w:rPr>
                <w:rFonts w:asciiTheme="majorEastAsia" w:hAnsiTheme="majorEastAsia" w:eastAsiaTheme="majorEastAsia"/>
                <w:color w:val="000000"/>
                <w:kern w:val="0"/>
                <w:sz w:val="20"/>
                <w:szCs w:val="20"/>
              </w:rPr>
            </w:pPr>
            <w:r>
              <w:rPr>
                <w:rFonts w:asciiTheme="majorEastAsia" w:hAnsiTheme="majorEastAsia" w:eastAsiaTheme="majorEastAsia"/>
                <w:kern w:val="0"/>
                <w:sz w:val="20"/>
                <w:szCs w:val="20"/>
              </w:rPr>
              <w:t>2027</w:t>
            </w:r>
          </w:p>
        </w:tc>
        <w:tc>
          <w:tcPr>
            <w:tcW w:w="1080" w:type="dxa"/>
            <w:tcBorders>
              <w:top w:val="nil"/>
              <w:left w:val="nil"/>
              <w:bottom w:val="single" w:color="auto" w:sz="4" w:space="0"/>
              <w:right w:val="single" w:color="auto" w:sz="4" w:space="0"/>
            </w:tcBorders>
            <w:shd w:val="clear" w:color="000000" w:fill="FFFFFF"/>
            <w:vAlign w:val="center"/>
          </w:tcPr>
          <w:p>
            <w:pPr>
              <w:widowControl/>
              <w:spacing w:line="240" w:lineRule="auto"/>
              <w:jc w:val="center"/>
              <w:rPr>
                <w:rFonts w:asciiTheme="majorEastAsia" w:hAnsiTheme="majorEastAsia" w:eastAsiaTheme="majorEastAsia"/>
                <w:kern w:val="0"/>
                <w:sz w:val="20"/>
                <w:szCs w:val="20"/>
              </w:rPr>
            </w:pPr>
            <w:r>
              <w:rPr>
                <w:rFonts w:asciiTheme="majorEastAsia" w:hAnsiTheme="majorEastAsia" w:eastAsiaTheme="majorEastAsia"/>
                <w:kern w:val="0"/>
                <w:sz w:val="20"/>
                <w:szCs w:val="20"/>
              </w:rPr>
              <w:t>1930000</w:t>
            </w:r>
          </w:p>
        </w:tc>
        <w:tc>
          <w:tcPr>
            <w:tcW w:w="1080" w:type="dxa"/>
            <w:tcBorders>
              <w:top w:val="nil"/>
              <w:left w:val="nil"/>
              <w:bottom w:val="single" w:color="auto" w:sz="4" w:space="0"/>
              <w:right w:val="single" w:color="auto" w:sz="4" w:space="0"/>
            </w:tcBorders>
            <w:shd w:val="clear" w:color="000000" w:fill="FFFFFF"/>
            <w:vAlign w:val="center"/>
          </w:tcPr>
          <w:p>
            <w:pPr>
              <w:widowControl/>
              <w:spacing w:line="240" w:lineRule="auto"/>
              <w:jc w:val="center"/>
              <w:rPr>
                <w:rFonts w:asciiTheme="majorEastAsia" w:hAnsiTheme="majorEastAsia" w:eastAsiaTheme="majorEastAsia"/>
                <w:color w:val="000000"/>
                <w:kern w:val="0"/>
                <w:sz w:val="20"/>
                <w:szCs w:val="20"/>
                <w:highlight w:val="yellow"/>
              </w:rPr>
            </w:pPr>
          </w:p>
        </w:tc>
        <w:tc>
          <w:tcPr>
            <w:tcW w:w="1080" w:type="dxa"/>
            <w:tcBorders>
              <w:top w:val="nil"/>
              <w:left w:val="nil"/>
              <w:bottom w:val="single" w:color="auto" w:sz="4" w:space="0"/>
              <w:right w:val="single" w:color="auto" w:sz="4" w:space="0"/>
            </w:tcBorders>
            <w:shd w:val="clear" w:color="000000" w:fill="FFFFFF"/>
            <w:vAlign w:val="center"/>
          </w:tcPr>
          <w:p>
            <w:pPr>
              <w:widowControl/>
              <w:spacing w:line="240" w:lineRule="auto"/>
              <w:jc w:val="center"/>
              <w:rPr>
                <w:rFonts w:asciiTheme="majorEastAsia" w:hAnsiTheme="majorEastAsia" w:eastAsiaTheme="majorEastAsia"/>
                <w:color w:val="000000"/>
                <w:kern w:val="0"/>
                <w:sz w:val="20"/>
                <w:szCs w:val="20"/>
                <w:highlight w:val="yellow"/>
              </w:rPr>
            </w:pPr>
          </w:p>
        </w:tc>
      </w:tr>
      <w:tr>
        <w:tblPrEx>
          <w:tblCellMar>
            <w:top w:w="0" w:type="dxa"/>
            <w:left w:w="108" w:type="dxa"/>
            <w:bottom w:w="0" w:type="dxa"/>
            <w:right w:w="108" w:type="dxa"/>
          </w:tblCellMar>
        </w:tblPrEx>
        <w:trPr>
          <w:trHeight w:val="270" w:hRule="atLeast"/>
          <w:jc w:val="center"/>
        </w:trPr>
        <w:tc>
          <w:tcPr>
            <w:tcW w:w="3681" w:type="dxa"/>
            <w:gridSpan w:val="2"/>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jc w:val="center"/>
              <w:rPr>
                <w:rFonts w:cs="宋体" w:asciiTheme="majorEastAsia" w:hAnsiTheme="majorEastAsia" w:eastAsiaTheme="majorEastAsia"/>
                <w:color w:val="000000"/>
                <w:kern w:val="0"/>
                <w:sz w:val="20"/>
                <w:szCs w:val="20"/>
              </w:rPr>
            </w:pPr>
            <w:r>
              <w:rPr>
                <w:rFonts w:asciiTheme="majorEastAsia" w:hAnsiTheme="majorEastAsia" w:eastAsiaTheme="majorEastAsia"/>
                <w:b/>
                <w:bCs/>
                <w:color w:val="000000"/>
                <w:kern w:val="0"/>
                <w:sz w:val="20"/>
                <w:szCs w:val="20"/>
              </w:rPr>
              <w:t>“</w:t>
            </w:r>
            <w:r>
              <w:rPr>
                <w:rFonts w:hint="eastAsia" w:asciiTheme="majorEastAsia" w:hAnsiTheme="majorEastAsia" w:eastAsiaTheme="majorEastAsia"/>
                <w:b/>
                <w:bCs/>
                <w:color w:val="000000"/>
                <w:kern w:val="0"/>
                <w:sz w:val="20"/>
                <w:szCs w:val="20"/>
              </w:rPr>
              <w:t>十四五</w:t>
            </w:r>
            <w:r>
              <w:rPr>
                <w:rFonts w:asciiTheme="majorEastAsia" w:hAnsiTheme="majorEastAsia" w:eastAsiaTheme="majorEastAsia"/>
                <w:b/>
                <w:bCs/>
                <w:color w:val="000000"/>
                <w:kern w:val="0"/>
                <w:sz w:val="20"/>
                <w:szCs w:val="20"/>
              </w:rPr>
              <w:t>”</w:t>
            </w:r>
            <w:r>
              <w:rPr>
                <w:rFonts w:hint="eastAsia" w:asciiTheme="majorEastAsia" w:hAnsiTheme="majorEastAsia" w:eastAsiaTheme="majorEastAsia"/>
                <w:b/>
                <w:bCs/>
                <w:color w:val="000000"/>
                <w:kern w:val="0"/>
                <w:sz w:val="20"/>
                <w:szCs w:val="20"/>
              </w:rPr>
              <w:t>研究项目</w:t>
            </w:r>
          </w:p>
        </w:tc>
        <w:tc>
          <w:tcPr>
            <w:tcW w:w="719"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新建</w:t>
            </w:r>
          </w:p>
        </w:tc>
        <w:tc>
          <w:tcPr>
            <w:tcW w:w="1549"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asciiTheme="majorEastAsia" w:hAnsiTheme="majorEastAsia" w:eastAsiaTheme="majorEastAsia"/>
                <w:b/>
                <w:bCs/>
                <w:color w:val="000000"/>
                <w:kern w:val="0"/>
                <w:sz w:val="20"/>
                <w:szCs w:val="20"/>
              </w:rPr>
            </w:pPr>
            <w:r>
              <w:rPr>
                <w:rFonts w:asciiTheme="majorEastAsia" w:hAnsiTheme="majorEastAsia" w:eastAsiaTheme="majorEastAsia"/>
                <w:b/>
                <w:bCs/>
                <w:color w:val="000000"/>
                <w:kern w:val="0"/>
                <w:sz w:val="20"/>
                <w:szCs w:val="20"/>
              </w:rPr>
              <w:t>81</w:t>
            </w:r>
          </w:p>
        </w:tc>
        <w:tc>
          <w:tcPr>
            <w:tcW w:w="850" w:type="dxa"/>
            <w:tcBorders>
              <w:top w:val="nil"/>
              <w:left w:val="nil"/>
              <w:bottom w:val="single" w:color="auto" w:sz="4" w:space="0"/>
              <w:right w:val="single" w:color="auto" w:sz="4" w:space="0"/>
            </w:tcBorders>
            <w:shd w:val="clear" w:color="000000" w:fill="FFFFFF"/>
            <w:vAlign w:val="center"/>
          </w:tcPr>
          <w:p>
            <w:pPr>
              <w:widowControl/>
              <w:spacing w:line="240" w:lineRule="auto"/>
              <w:jc w:val="center"/>
              <w:rPr>
                <w:rFonts w:asciiTheme="majorEastAsia" w:hAnsiTheme="majorEastAsia" w:eastAsiaTheme="majorEastAsia"/>
                <w:color w:val="000000"/>
                <w:kern w:val="0"/>
                <w:sz w:val="20"/>
                <w:szCs w:val="20"/>
              </w:rPr>
            </w:pPr>
          </w:p>
        </w:tc>
        <w:tc>
          <w:tcPr>
            <w:tcW w:w="841" w:type="dxa"/>
            <w:tcBorders>
              <w:top w:val="nil"/>
              <w:left w:val="nil"/>
              <w:bottom w:val="single" w:color="auto" w:sz="4" w:space="0"/>
              <w:right w:val="single" w:color="auto" w:sz="4" w:space="0"/>
            </w:tcBorders>
            <w:shd w:val="clear" w:color="000000" w:fill="FFFFFF"/>
            <w:vAlign w:val="center"/>
          </w:tcPr>
          <w:p>
            <w:pPr>
              <w:widowControl/>
              <w:spacing w:line="240" w:lineRule="auto"/>
              <w:jc w:val="center"/>
              <w:rPr>
                <w:rFonts w:asciiTheme="majorEastAsia" w:hAnsiTheme="majorEastAsia" w:eastAsiaTheme="majorEastAsia"/>
                <w:color w:val="000000"/>
                <w:kern w:val="0"/>
                <w:sz w:val="20"/>
                <w:szCs w:val="20"/>
              </w:rPr>
            </w:pPr>
          </w:p>
        </w:tc>
        <w:tc>
          <w:tcPr>
            <w:tcW w:w="1080" w:type="dxa"/>
            <w:tcBorders>
              <w:top w:val="nil"/>
              <w:left w:val="nil"/>
              <w:bottom w:val="single" w:color="auto" w:sz="4" w:space="0"/>
              <w:right w:val="single" w:color="auto" w:sz="4" w:space="0"/>
            </w:tcBorders>
            <w:shd w:val="clear" w:color="000000" w:fill="FFFFFF"/>
            <w:vAlign w:val="center"/>
          </w:tcPr>
          <w:p>
            <w:pPr>
              <w:widowControl/>
              <w:spacing w:line="240" w:lineRule="auto"/>
              <w:jc w:val="center"/>
              <w:rPr>
                <w:rFonts w:asciiTheme="majorEastAsia" w:hAnsiTheme="majorEastAsia" w:eastAsiaTheme="majorEastAsia"/>
                <w:b/>
                <w:bCs/>
                <w:kern w:val="0"/>
                <w:sz w:val="20"/>
                <w:szCs w:val="20"/>
              </w:rPr>
            </w:pPr>
            <w:r>
              <w:rPr>
                <w:rFonts w:asciiTheme="majorEastAsia" w:hAnsiTheme="majorEastAsia" w:eastAsiaTheme="majorEastAsia"/>
                <w:b/>
                <w:bCs/>
                <w:kern w:val="0"/>
                <w:sz w:val="20"/>
                <w:szCs w:val="20"/>
              </w:rPr>
              <w:t>1285000</w:t>
            </w:r>
          </w:p>
        </w:tc>
        <w:tc>
          <w:tcPr>
            <w:tcW w:w="1080" w:type="dxa"/>
            <w:tcBorders>
              <w:top w:val="nil"/>
              <w:left w:val="nil"/>
              <w:bottom w:val="single" w:color="auto" w:sz="4" w:space="0"/>
              <w:right w:val="single" w:color="auto" w:sz="4" w:space="0"/>
            </w:tcBorders>
            <w:shd w:val="clear" w:color="000000" w:fill="FFFFFF"/>
            <w:vAlign w:val="center"/>
          </w:tcPr>
          <w:p>
            <w:pPr>
              <w:jc w:val="center"/>
            </w:pPr>
          </w:p>
        </w:tc>
        <w:tc>
          <w:tcPr>
            <w:tcW w:w="1080" w:type="dxa"/>
            <w:tcBorders>
              <w:top w:val="nil"/>
              <w:left w:val="nil"/>
              <w:bottom w:val="single" w:color="auto" w:sz="4" w:space="0"/>
              <w:right w:val="single" w:color="auto" w:sz="4" w:space="0"/>
            </w:tcBorders>
            <w:shd w:val="clear" w:color="000000" w:fill="FFFFFF"/>
            <w:vAlign w:val="center"/>
          </w:tcPr>
          <w:p>
            <w:pPr>
              <w:widowControl/>
              <w:spacing w:line="240" w:lineRule="auto"/>
              <w:jc w:val="center"/>
              <w:rPr>
                <w:rFonts w:asciiTheme="majorEastAsia" w:hAnsiTheme="majorEastAsia" w:eastAsiaTheme="majorEastAsia"/>
                <w:color w:val="000000"/>
                <w:kern w:val="0"/>
                <w:sz w:val="20"/>
                <w:szCs w:val="20"/>
                <w:highlight w:val="yellow"/>
              </w:rPr>
            </w:pPr>
          </w:p>
        </w:tc>
      </w:tr>
      <w:tr>
        <w:tblPrEx>
          <w:tblCellMar>
            <w:top w:w="0" w:type="dxa"/>
            <w:left w:w="108" w:type="dxa"/>
            <w:bottom w:w="0" w:type="dxa"/>
            <w:right w:w="108" w:type="dxa"/>
          </w:tblCellMar>
        </w:tblPrEx>
        <w:trPr>
          <w:trHeight w:val="270" w:hRule="atLeast"/>
          <w:jc w:val="center"/>
        </w:trPr>
        <w:tc>
          <w:tcPr>
            <w:tcW w:w="56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Theme="majorEastAsia" w:hAnsiTheme="majorEastAsia" w:eastAsiaTheme="majorEastAsia"/>
                <w:color w:val="000000"/>
                <w:kern w:val="0"/>
                <w:sz w:val="20"/>
                <w:szCs w:val="20"/>
              </w:rPr>
            </w:pPr>
            <w:r>
              <w:rPr>
                <w:rFonts w:asciiTheme="majorEastAsia" w:hAnsiTheme="majorEastAsia" w:eastAsiaTheme="majorEastAsia"/>
                <w:color w:val="000000"/>
                <w:kern w:val="0"/>
                <w:sz w:val="20"/>
                <w:szCs w:val="20"/>
              </w:rPr>
              <w:t>1</w:t>
            </w:r>
          </w:p>
        </w:tc>
        <w:tc>
          <w:tcPr>
            <w:tcW w:w="311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color w:val="000000"/>
                <w:kern w:val="0"/>
                <w:sz w:val="20"/>
                <w:szCs w:val="20"/>
              </w:rPr>
            </w:pPr>
            <w:r>
              <w:rPr>
                <w:rFonts w:hint="eastAsia" w:cs="宋体" w:asciiTheme="majorEastAsia" w:hAnsiTheme="majorEastAsia" w:eastAsiaTheme="majorEastAsia"/>
                <w:color w:val="000000"/>
                <w:kern w:val="0"/>
                <w:sz w:val="20"/>
                <w:szCs w:val="20"/>
              </w:rPr>
              <w:t>织金至六枝</w:t>
            </w:r>
            <w:r>
              <w:rPr>
                <w:rFonts w:hint="eastAsia" w:cs="宋体" w:asciiTheme="majorEastAsia" w:hAnsiTheme="majorEastAsia" w:eastAsiaTheme="majorEastAsia"/>
                <w:kern w:val="0"/>
                <w:sz w:val="20"/>
                <w:szCs w:val="20"/>
              </w:rPr>
              <w:t>高速公路</w:t>
            </w:r>
          </w:p>
        </w:tc>
        <w:tc>
          <w:tcPr>
            <w:tcW w:w="71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color w:val="000000"/>
                <w:kern w:val="0"/>
                <w:sz w:val="20"/>
                <w:szCs w:val="20"/>
              </w:rPr>
            </w:pPr>
            <w:r>
              <w:rPr>
                <w:rFonts w:hint="eastAsia" w:cs="宋体" w:asciiTheme="majorEastAsia" w:hAnsiTheme="majorEastAsia" w:eastAsiaTheme="majorEastAsia"/>
                <w:color w:val="000000"/>
                <w:kern w:val="0"/>
                <w:sz w:val="20"/>
                <w:szCs w:val="20"/>
              </w:rPr>
              <w:t>新建</w:t>
            </w:r>
          </w:p>
        </w:tc>
        <w:tc>
          <w:tcPr>
            <w:tcW w:w="154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heme="majorEastAsia" w:hAnsiTheme="majorEastAsia" w:eastAsiaTheme="majorEastAsia"/>
                <w:color w:val="000000"/>
                <w:kern w:val="0"/>
                <w:sz w:val="20"/>
                <w:szCs w:val="20"/>
              </w:rPr>
            </w:pPr>
            <w:r>
              <w:rPr>
                <w:rFonts w:asciiTheme="majorEastAsia" w:hAnsiTheme="majorEastAsia" w:eastAsiaTheme="majorEastAsia"/>
                <w:color w:val="000000"/>
                <w:kern w:val="0"/>
                <w:sz w:val="20"/>
                <w:szCs w:val="20"/>
              </w:rPr>
              <w:t>21</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heme="majorEastAsia" w:hAnsiTheme="majorEastAsia" w:eastAsiaTheme="majorEastAsia"/>
                <w:color w:val="000000"/>
                <w:kern w:val="0"/>
                <w:sz w:val="20"/>
                <w:szCs w:val="20"/>
              </w:rPr>
            </w:pPr>
          </w:p>
        </w:tc>
        <w:tc>
          <w:tcPr>
            <w:tcW w:w="841"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asciiTheme="majorEastAsia" w:hAnsiTheme="majorEastAsia" w:eastAsiaTheme="majorEastAsia"/>
                <w:color w:val="000000"/>
                <w:kern w:val="0"/>
                <w:sz w:val="20"/>
                <w:szCs w:val="20"/>
              </w:rPr>
            </w:pP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asciiTheme="majorEastAsia" w:hAnsiTheme="majorEastAsia" w:eastAsiaTheme="majorEastAsia"/>
                <w:kern w:val="0"/>
                <w:sz w:val="20"/>
                <w:szCs w:val="20"/>
              </w:rPr>
            </w:pPr>
            <w:r>
              <w:rPr>
                <w:rFonts w:asciiTheme="majorEastAsia" w:hAnsiTheme="majorEastAsia" w:eastAsiaTheme="majorEastAsia"/>
                <w:kern w:val="0"/>
                <w:sz w:val="20"/>
                <w:szCs w:val="20"/>
              </w:rPr>
              <w:t>385000</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asciiTheme="majorEastAsia" w:hAnsiTheme="majorEastAsia" w:eastAsiaTheme="majorEastAsia"/>
                <w:color w:val="000000"/>
                <w:kern w:val="0"/>
                <w:sz w:val="20"/>
                <w:szCs w:val="20"/>
                <w:highlight w:val="yellow"/>
              </w:rPr>
            </w:pP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asciiTheme="majorEastAsia" w:hAnsiTheme="majorEastAsia" w:eastAsiaTheme="majorEastAsia"/>
                <w:color w:val="000000"/>
                <w:kern w:val="0"/>
                <w:sz w:val="20"/>
                <w:szCs w:val="20"/>
                <w:highlight w:val="yellow"/>
              </w:rPr>
            </w:pPr>
          </w:p>
        </w:tc>
      </w:tr>
      <w:tr>
        <w:tblPrEx>
          <w:tblCellMar>
            <w:top w:w="0" w:type="dxa"/>
            <w:left w:w="108" w:type="dxa"/>
            <w:bottom w:w="0" w:type="dxa"/>
            <w:right w:w="108" w:type="dxa"/>
          </w:tblCellMar>
        </w:tblPrEx>
        <w:trPr>
          <w:trHeight w:val="270" w:hRule="atLeast"/>
          <w:jc w:val="center"/>
        </w:trPr>
        <w:tc>
          <w:tcPr>
            <w:tcW w:w="56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Theme="majorEastAsia" w:hAnsiTheme="majorEastAsia" w:eastAsiaTheme="majorEastAsia"/>
                <w:color w:val="000000"/>
                <w:kern w:val="0"/>
                <w:sz w:val="20"/>
                <w:szCs w:val="20"/>
              </w:rPr>
            </w:pPr>
            <w:r>
              <w:rPr>
                <w:rFonts w:asciiTheme="majorEastAsia" w:hAnsiTheme="majorEastAsia" w:eastAsiaTheme="majorEastAsia"/>
                <w:color w:val="000000"/>
                <w:kern w:val="0"/>
                <w:sz w:val="20"/>
                <w:szCs w:val="20"/>
              </w:rPr>
              <w:t>2</w:t>
            </w:r>
          </w:p>
        </w:tc>
        <w:tc>
          <w:tcPr>
            <w:tcW w:w="311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color w:val="000000"/>
                <w:kern w:val="0"/>
                <w:sz w:val="20"/>
                <w:szCs w:val="20"/>
              </w:rPr>
              <w:t>兴仁经盘州至麒麟</w:t>
            </w:r>
            <w:r>
              <w:rPr>
                <w:rFonts w:hint="eastAsia" w:cs="宋体" w:asciiTheme="majorEastAsia" w:hAnsiTheme="majorEastAsia" w:eastAsiaTheme="majorEastAsia"/>
                <w:kern w:val="0"/>
                <w:sz w:val="20"/>
                <w:szCs w:val="20"/>
              </w:rPr>
              <w:t>高速公路</w:t>
            </w:r>
          </w:p>
        </w:tc>
        <w:tc>
          <w:tcPr>
            <w:tcW w:w="71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kern w:val="0"/>
                <w:sz w:val="20"/>
                <w:szCs w:val="20"/>
              </w:rPr>
              <w:t>新建</w:t>
            </w:r>
          </w:p>
        </w:tc>
        <w:tc>
          <w:tcPr>
            <w:tcW w:w="154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heme="majorEastAsia" w:hAnsiTheme="majorEastAsia" w:eastAsiaTheme="majorEastAsia"/>
                <w:kern w:val="0"/>
                <w:sz w:val="20"/>
                <w:szCs w:val="20"/>
              </w:rPr>
            </w:pPr>
            <w:r>
              <w:rPr>
                <w:rFonts w:asciiTheme="majorEastAsia" w:hAnsiTheme="majorEastAsia" w:eastAsiaTheme="majorEastAsia"/>
                <w:color w:val="000000"/>
                <w:kern w:val="0"/>
                <w:sz w:val="20"/>
                <w:szCs w:val="20"/>
              </w:rPr>
              <w:t>40</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heme="majorEastAsia" w:hAnsiTheme="majorEastAsia" w:eastAsiaTheme="majorEastAsia"/>
                <w:kern w:val="0"/>
                <w:sz w:val="20"/>
                <w:szCs w:val="20"/>
              </w:rPr>
            </w:pPr>
            <w:r>
              <w:rPr>
                <w:rFonts w:asciiTheme="majorEastAsia" w:hAnsiTheme="majorEastAsia" w:eastAsiaTheme="majorEastAsia"/>
                <w:color w:val="000000"/>
                <w:kern w:val="0"/>
                <w:sz w:val="20"/>
                <w:szCs w:val="20"/>
              </w:rPr>
              <w:t>2028</w:t>
            </w:r>
          </w:p>
        </w:tc>
        <w:tc>
          <w:tcPr>
            <w:tcW w:w="841"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asciiTheme="majorEastAsia" w:hAnsiTheme="majorEastAsia" w:eastAsiaTheme="majorEastAsia"/>
                <w:kern w:val="0"/>
                <w:sz w:val="20"/>
                <w:szCs w:val="20"/>
              </w:rPr>
            </w:pPr>
            <w:r>
              <w:rPr>
                <w:rFonts w:asciiTheme="majorEastAsia" w:hAnsiTheme="majorEastAsia" w:eastAsiaTheme="majorEastAsia"/>
                <w:color w:val="000000"/>
                <w:kern w:val="0"/>
                <w:sz w:val="20"/>
                <w:szCs w:val="20"/>
              </w:rPr>
              <w:t>2031</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asciiTheme="majorEastAsia" w:hAnsiTheme="majorEastAsia" w:eastAsiaTheme="majorEastAsia"/>
                <w:kern w:val="0"/>
                <w:sz w:val="20"/>
                <w:szCs w:val="20"/>
              </w:rPr>
            </w:pPr>
            <w:r>
              <w:rPr>
                <w:rFonts w:asciiTheme="majorEastAsia" w:hAnsiTheme="majorEastAsia" w:eastAsiaTheme="majorEastAsia"/>
                <w:kern w:val="0"/>
                <w:sz w:val="20"/>
                <w:szCs w:val="20"/>
              </w:rPr>
              <w:t>600000</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asciiTheme="majorEastAsia" w:hAnsiTheme="majorEastAsia" w:eastAsiaTheme="majorEastAsia"/>
                <w:color w:val="000000"/>
                <w:kern w:val="0"/>
                <w:sz w:val="20"/>
                <w:szCs w:val="20"/>
                <w:highlight w:val="yellow"/>
              </w:rPr>
            </w:pP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asciiTheme="majorEastAsia" w:hAnsiTheme="majorEastAsia" w:eastAsiaTheme="majorEastAsia"/>
                <w:color w:val="000000"/>
                <w:kern w:val="0"/>
                <w:sz w:val="20"/>
                <w:szCs w:val="20"/>
                <w:highlight w:val="yellow"/>
              </w:rPr>
            </w:pPr>
          </w:p>
        </w:tc>
      </w:tr>
      <w:tr>
        <w:tblPrEx>
          <w:tblCellMar>
            <w:top w:w="0" w:type="dxa"/>
            <w:left w:w="108" w:type="dxa"/>
            <w:bottom w:w="0" w:type="dxa"/>
            <w:right w:w="108" w:type="dxa"/>
          </w:tblCellMar>
        </w:tblPrEx>
        <w:trPr>
          <w:trHeight w:val="270" w:hRule="atLeast"/>
          <w:jc w:val="center"/>
        </w:trPr>
        <w:tc>
          <w:tcPr>
            <w:tcW w:w="56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Theme="majorEastAsia" w:hAnsiTheme="majorEastAsia" w:eastAsiaTheme="majorEastAsia"/>
                <w:color w:val="000000"/>
                <w:kern w:val="0"/>
                <w:sz w:val="20"/>
                <w:szCs w:val="20"/>
              </w:rPr>
            </w:pPr>
            <w:r>
              <w:rPr>
                <w:rFonts w:asciiTheme="majorEastAsia" w:hAnsiTheme="majorEastAsia" w:eastAsiaTheme="majorEastAsia"/>
                <w:color w:val="000000"/>
                <w:kern w:val="0"/>
                <w:sz w:val="20"/>
                <w:szCs w:val="20"/>
              </w:rPr>
              <w:t>3</w:t>
            </w:r>
          </w:p>
        </w:tc>
        <w:tc>
          <w:tcPr>
            <w:tcW w:w="311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color w:val="000000"/>
                <w:kern w:val="0"/>
                <w:sz w:val="20"/>
                <w:szCs w:val="20"/>
              </w:rPr>
              <w:t>盘州至宣威</w:t>
            </w:r>
            <w:r>
              <w:rPr>
                <w:rFonts w:hint="eastAsia" w:cs="宋体" w:asciiTheme="majorEastAsia" w:hAnsiTheme="majorEastAsia" w:eastAsiaTheme="majorEastAsia"/>
                <w:kern w:val="0"/>
                <w:sz w:val="20"/>
                <w:szCs w:val="20"/>
              </w:rPr>
              <w:t>高速公路</w:t>
            </w:r>
          </w:p>
        </w:tc>
        <w:tc>
          <w:tcPr>
            <w:tcW w:w="71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cs="宋体" w:asciiTheme="majorEastAsia" w:hAnsiTheme="majorEastAsia" w:eastAsiaTheme="majorEastAsia"/>
                <w:kern w:val="0"/>
                <w:sz w:val="20"/>
                <w:szCs w:val="20"/>
              </w:rPr>
            </w:pPr>
            <w:r>
              <w:rPr>
                <w:rFonts w:hint="eastAsia" w:cs="宋体" w:asciiTheme="majorEastAsia" w:hAnsiTheme="majorEastAsia" w:eastAsiaTheme="majorEastAsia"/>
                <w:color w:val="000000"/>
                <w:kern w:val="0"/>
                <w:sz w:val="20"/>
                <w:szCs w:val="20"/>
              </w:rPr>
              <w:t>新建</w:t>
            </w:r>
          </w:p>
        </w:tc>
        <w:tc>
          <w:tcPr>
            <w:tcW w:w="154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heme="majorEastAsia" w:hAnsiTheme="majorEastAsia" w:eastAsiaTheme="majorEastAsia"/>
                <w:kern w:val="0"/>
                <w:sz w:val="20"/>
                <w:szCs w:val="20"/>
              </w:rPr>
            </w:pPr>
            <w:r>
              <w:rPr>
                <w:rFonts w:asciiTheme="majorEastAsia" w:hAnsiTheme="majorEastAsia" w:eastAsiaTheme="majorEastAsia"/>
                <w:color w:val="000000"/>
                <w:kern w:val="0"/>
                <w:sz w:val="20"/>
                <w:szCs w:val="20"/>
              </w:rPr>
              <w:t>20</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heme="majorEastAsia" w:hAnsiTheme="majorEastAsia" w:eastAsiaTheme="majorEastAsia"/>
                <w:kern w:val="0"/>
                <w:sz w:val="20"/>
                <w:szCs w:val="20"/>
              </w:rPr>
            </w:pPr>
            <w:r>
              <w:rPr>
                <w:rFonts w:asciiTheme="majorEastAsia" w:hAnsiTheme="majorEastAsia" w:eastAsiaTheme="majorEastAsia"/>
                <w:color w:val="000000"/>
                <w:kern w:val="0"/>
                <w:sz w:val="20"/>
                <w:szCs w:val="20"/>
              </w:rPr>
              <w:t>2026</w:t>
            </w:r>
          </w:p>
        </w:tc>
        <w:tc>
          <w:tcPr>
            <w:tcW w:w="841"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asciiTheme="majorEastAsia" w:hAnsiTheme="majorEastAsia" w:eastAsiaTheme="majorEastAsia"/>
                <w:kern w:val="0"/>
                <w:sz w:val="20"/>
                <w:szCs w:val="20"/>
              </w:rPr>
            </w:pPr>
            <w:r>
              <w:rPr>
                <w:rFonts w:asciiTheme="majorEastAsia" w:hAnsiTheme="majorEastAsia" w:eastAsiaTheme="majorEastAsia"/>
                <w:color w:val="000000"/>
                <w:kern w:val="0"/>
                <w:sz w:val="20"/>
                <w:szCs w:val="20"/>
              </w:rPr>
              <w:t>2029</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asciiTheme="majorEastAsia" w:hAnsiTheme="majorEastAsia" w:eastAsiaTheme="majorEastAsia"/>
                <w:kern w:val="0"/>
                <w:sz w:val="20"/>
                <w:szCs w:val="20"/>
              </w:rPr>
            </w:pPr>
            <w:r>
              <w:rPr>
                <w:rFonts w:asciiTheme="majorEastAsia" w:hAnsiTheme="majorEastAsia" w:eastAsiaTheme="majorEastAsia"/>
                <w:kern w:val="0"/>
                <w:sz w:val="20"/>
                <w:szCs w:val="20"/>
              </w:rPr>
              <w:t>300000</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asciiTheme="majorEastAsia" w:hAnsiTheme="majorEastAsia" w:eastAsiaTheme="majorEastAsia"/>
                <w:color w:val="000000"/>
                <w:kern w:val="0"/>
                <w:sz w:val="20"/>
                <w:szCs w:val="20"/>
                <w:highlight w:val="yellow"/>
              </w:rPr>
            </w:pP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asciiTheme="majorEastAsia" w:hAnsiTheme="majorEastAsia" w:eastAsiaTheme="majorEastAsia"/>
                <w:color w:val="000000"/>
                <w:kern w:val="0"/>
                <w:sz w:val="20"/>
                <w:szCs w:val="20"/>
                <w:highlight w:val="yellow"/>
              </w:rPr>
            </w:pPr>
          </w:p>
        </w:tc>
      </w:tr>
    </w:tbl>
    <w:p>
      <w:pPr>
        <w:ind w:firstLine="1540" w:firstLineChars="700"/>
        <w:rPr>
          <w:rFonts w:asciiTheme="majorEastAsia" w:hAnsiTheme="majorEastAsia" w:eastAsiaTheme="majorEastAsia"/>
          <w:sz w:val="22"/>
          <w:szCs w:val="22"/>
        </w:rPr>
      </w:pPr>
      <w:r>
        <w:rPr>
          <w:rFonts w:hint="eastAsia" w:asciiTheme="majorEastAsia" w:hAnsiTheme="majorEastAsia" w:eastAsiaTheme="majorEastAsia"/>
          <w:sz w:val="22"/>
          <w:szCs w:val="22"/>
        </w:rPr>
        <w:t>注：表内规模为六盘水市境内规模</w:t>
      </w:r>
    </w:p>
    <w:p>
      <w:pPr>
        <w:keepNext/>
        <w:keepLines/>
        <w:spacing w:after="100" w:afterAutospacing="1"/>
        <w:outlineLvl w:val="0"/>
        <w:rPr>
          <w:rFonts w:cs="宋体" w:asciiTheme="majorEastAsia" w:hAnsiTheme="majorEastAsia" w:eastAsiaTheme="majorEastAsia"/>
          <w:b/>
          <w:bCs/>
          <w:kern w:val="44"/>
          <w:sz w:val="32"/>
          <w:szCs w:val="44"/>
        </w:rPr>
      </w:pPr>
      <w:bookmarkStart w:id="1003" w:name="_Toc89102215"/>
      <w:r>
        <w:rPr>
          <w:rFonts w:hint="eastAsia" w:cs="宋体" w:asciiTheme="majorEastAsia" w:hAnsiTheme="majorEastAsia" w:eastAsiaTheme="majorEastAsia"/>
          <w:b/>
          <w:bCs/>
          <w:kern w:val="44"/>
          <w:sz w:val="32"/>
          <w:szCs w:val="44"/>
        </w:rPr>
        <w:t>附表</w:t>
      </w:r>
      <w:r>
        <w:rPr>
          <w:rFonts w:hint="eastAsia" w:asciiTheme="majorEastAsia" w:hAnsiTheme="majorEastAsia" w:eastAsiaTheme="majorEastAsia"/>
          <w:b/>
          <w:bCs/>
          <w:kern w:val="44"/>
          <w:sz w:val="32"/>
          <w:szCs w:val="44"/>
        </w:rPr>
        <w:t>2</w:t>
      </w:r>
      <w:r>
        <w:rPr>
          <w:rFonts w:asciiTheme="majorEastAsia" w:hAnsiTheme="majorEastAsia" w:eastAsiaTheme="majorEastAsia"/>
          <w:b/>
          <w:bCs/>
          <w:kern w:val="44"/>
          <w:sz w:val="32"/>
          <w:szCs w:val="44"/>
        </w:rPr>
        <w:t xml:space="preserve">  </w:t>
      </w:r>
      <w:r>
        <w:rPr>
          <w:rFonts w:hint="eastAsia" w:cs="宋体" w:asciiTheme="majorEastAsia" w:hAnsiTheme="majorEastAsia" w:eastAsiaTheme="majorEastAsia"/>
          <w:b/>
          <w:bCs/>
          <w:kern w:val="44"/>
          <w:sz w:val="32"/>
          <w:szCs w:val="44"/>
        </w:rPr>
        <w:t>六盘水市</w:t>
      </w:r>
      <w:r>
        <w:rPr>
          <w:rFonts w:asciiTheme="majorEastAsia" w:hAnsiTheme="majorEastAsia" w:eastAsiaTheme="majorEastAsia"/>
          <w:b/>
          <w:bCs/>
          <w:kern w:val="44"/>
          <w:sz w:val="32"/>
          <w:szCs w:val="44"/>
        </w:rPr>
        <w:t>“</w:t>
      </w:r>
      <w:r>
        <w:rPr>
          <w:rFonts w:hint="eastAsia" w:cs="宋体" w:asciiTheme="majorEastAsia" w:hAnsiTheme="majorEastAsia" w:eastAsiaTheme="majorEastAsia"/>
          <w:b/>
          <w:bCs/>
          <w:kern w:val="44"/>
          <w:sz w:val="32"/>
          <w:szCs w:val="44"/>
        </w:rPr>
        <w:t>十四五</w:t>
      </w:r>
      <w:r>
        <w:rPr>
          <w:rFonts w:asciiTheme="majorEastAsia" w:hAnsiTheme="majorEastAsia" w:eastAsiaTheme="majorEastAsia"/>
          <w:b/>
          <w:bCs/>
          <w:kern w:val="44"/>
          <w:sz w:val="32"/>
          <w:szCs w:val="44"/>
        </w:rPr>
        <w:t>”</w:t>
      </w:r>
      <w:r>
        <w:rPr>
          <w:rFonts w:hint="eastAsia" w:cs="宋体" w:asciiTheme="majorEastAsia" w:hAnsiTheme="majorEastAsia" w:eastAsiaTheme="majorEastAsia"/>
          <w:b/>
          <w:bCs/>
          <w:kern w:val="44"/>
          <w:sz w:val="32"/>
          <w:szCs w:val="44"/>
        </w:rPr>
        <w:t>普通国省干线建设项目表</w:t>
      </w:r>
      <w:bookmarkEnd w:id="1003"/>
      <w:bookmarkStart w:id="1004" w:name="_Hlk56182282"/>
    </w:p>
    <w:tbl>
      <w:tblPr>
        <w:tblStyle w:val="19"/>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959"/>
        <w:gridCol w:w="3205"/>
        <w:gridCol w:w="906"/>
        <w:gridCol w:w="952"/>
        <w:gridCol w:w="822"/>
        <w:gridCol w:w="698"/>
        <w:gridCol w:w="703"/>
        <w:gridCol w:w="1114"/>
        <w:gridCol w:w="922"/>
        <w:gridCol w:w="884"/>
        <w:gridCol w:w="642"/>
        <w:gridCol w:w="843"/>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vMerge w:val="restart"/>
            <w:shd w:val="clear" w:color="auto" w:fill="auto"/>
            <w:noWrap/>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959" w:type="dxa"/>
            <w:vMerge w:val="restart"/>
            <w:shd w:val="clear" w:color="auto" w:fill="auto"/>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项目所在地</w:t>
            </w:r>
          </w:p>
        </w:tc>
        <w:tc>
          <w:tcPr>
            <w:tcW w:w="3205" w:type="dxa"/>
            <w:vMerge w:val="restart"/>
            <w:shd w:val="clear" w:color="auto" w:fill="auto"/>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项目名称</w:t>
            </w:r>
          </w:p>
        </w:tc>
        <w:tc>
          <w:tcPr>
            <w:tcW w:w="906" w:type="dxa"/>
            <w:vMerge w:val="restart"/>
            <w:shd w:val="clear" w:color="auto" w:fill="auto"/>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建设</w:t>
            </w:r>
          </w:p>
          <w:p>
            <w:pPr>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性质</w:t>
            </w:r>
          </w:p>
          <w:p>
            <w:pPr>
              <w:spacing w:line="240" w:lineRule="auto"/>
              <w:jc w:val="center"/>
              <w:rPr>
                <w:rFonts w:ascii="宋体" w:hAnsi="宋体" w:cs="宋体"/>
                <w:b/>
                <w:bCs/>
                <w:color w:val="000000"/>
                <w:kern w:val="0"/>
                <w:sz w:val="18"/>
                <w:szCs w:val="18"/>
              </w:rPr>
            </w:pPr>
          </w:p>
        </w:tc>
        <w:tc>
          <w:tcPr>
            <w:tcW w:w="1774" w:type="dxa"/>
            <w:gridSpan w:val="2"/>
            <w:shd w:val="clear" w:color="auto" w:fill="auto"/>
            <w:noWrap/>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规模标准</w:t>
            </w:r>
          </w:p>
        </w:tc>
        <w:tc>
          <w:tcPr>
            <w:tcW w:w="1401" w:type="dxa"/>
            <w:gridSpan w:val="2"/>
            <w:vMerge w:val="restart"/>
            <w:shd w:val="clear" w:color="auto" w:fill="auto"/>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建设起止年限</w:t>
            </w:r>
          </w:p>
        </w:tc>
        <w:tc>
          <w:tcPr>
            <w:tcW w:w="1114" w:type="dxa"/>
            <w:vMerge w:val="restart"/>
            <w:shd w:val="clear" w:color="auto" w:fill="auto"/>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总投资（万元）</w:t>
            </w:r>
          </w:p>
        </w:tc>
        <w:tc>
          <w:tcPr>
            <w:tcW w:w="1806" w:type="dxa"/>
            <w:gridSpan w:val="2"/>
            <w:shd w:val="clear" w:color="000000" w:fill="FFFFFF"/>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“十四五”</w:t>
            </w:r>
          </w:p>
          <w:p>
            <w:pPr>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计划投资</w:t>
            </w:r>
            <w:r>
              <w:rPr>
                <w:rFonts w:ascii="宋体" w:hAnsi="宋体" w:cs="宋体"/>
                <w:b/>
                <w:bCs/>
                <w:color w:val="000000"/>
                <w:kern w:val="0"/>
                <w:sz w:val="18"/>
                <w:szCs w:val="18"/>
              </w:rPr>
              <w:t>(</w:t>
            </w:r>
            <w:r>
              <w:rPr>
                <w:rFonts w:hint="eastAsia" w:ascii="宋体" w:hAnsi="宋体" w:cs="宋体"/>
                <w:b/>
                <w:bCs/>
                <w:color w:val="000000"/>
                <w:kern w:val="0"/>
                <w:sz w:val="18"/>
                <w:szCs w:val="18"/>
              </w:rPr>
              <w:t>万</w:t>
            </w:r>
            <w:r>
              <w:rPr>
                <w:rFonts w:ascii="宋体" w:hAnsi="宋体" w:cs="宋体"/>
                <w:b/>
                <w:bCs/>
                <w:color w:val="000000"/>
                <w:kern w:val="0"/>
                <w:sz w:val="18"/>
                <w:szCs w:val="18"/>
              </w:rPr>
              <w:t>元)</w:t>
            </w:r>
          </w:p>
        </w:tc>
        <w:tc>
          <w:tcPr>
            <w:tcW w:w="2329" w:type="dxa"/>
            <w:gridSpan w:val="3"/>
            <w:shd w:val="clear" w:color="auto" w:fill="auto"/>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前期工作情况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vMerge w:val="continue"/>
            <w:vAlign w:val="center"/>
          </w:tcPr>
          <w:p>
            <w:pPr>
              <w:widowControl/>
              <w:spacing w:line="240" w:lineRule="auto"/>
              <w:jc w:val="center"/>
              <w:rPr>
                <w:rFonts w:ascii="宋体" w:hAnsi="宋体" w:cs="宋体"/>
                <w:b/>
                <w:bCs/>
                <w:color w:val="000000"/>
                <w:kern w:val="0"/>
                <w:sz w:val="18"/>
                <w:szCs w:val="18"/>
              </w:rPr>
            </w:pPr>
          </w:p>
        </w:tc>
        <w:tc>
          <w:tcPr>
            <w:tcW w:w="959" w:type="dxa"/>
            <w:vMerge w:val="continue"/>
            <w:vAlign w:val="center"/>
          </w:tcPr>
          <w:p>
            <w:pPr>
              <w:widowControl/>
              <w:spacing w:line="240" w:lineRule="auto"/>
              <w:jc w:val="center"/>
              <w:rPr>
                <w:rFonts w:ascii="宋体" w:hAnsi="宋体" w:cs="宋体"/>
                <w:b/>
                <w:bCs/>
                <w:color w:val="000000"/>
                <w:kern w:val="0"/>
                <w:sz w:val="18"/>
                <w:szCs w:val="18"/>
              </w:rPr>
            </w:pPr>
          </w:p>
        </w:tc>
        <w:tc>
          <w:tcPr>
            <w:tcW w:w="3205" w:type="dxa"/>
            <w:vMerge w:val="continue"/>
            <w:vAlign w:val="center"/>
          </w:tcPr>
          <w:p>
            <w:pPr>
              <w:widowControl/>
              <w:spacing w:line="240" w:lineRule="auto"/>
              <w:jc w:val="center"/>
              <w:rPr>
                <w:rFonts w:ascii="宋体" w:hAnsi="宋体" w:cs="宋体"/>
                <w:b/>
                <w:bCs/>
                <w:color w:val="000000"/>
                <w:kern w:val="0"/>
                <w:sz w:val="18"/>
                <w:szCs w:val="18"/>
              </w:rPr>
            </w:pPr>
          </w:p>
        </w:tc>
        <w:tc>
          <w:tcPr>
            <w:tcW w:w="906" w:type="dxa"/>
            <w:vMerge w:val="continue"/>
            <w:shd w:val="clear" w:color="auto" w:fill="auto"/>
            <w:vAlign w:val="center"/>
          </w:tcPr>
          <w:p>
            <w:pPr>
              <w:spacing w:line="240" w:lineRule="auto"/>
              <w:jc w:val="center"/>
              <w:rPr>
                <w:rFonts w:ascii="宋体" w:hAnsi="宋体" w:cs="宋体"/>
                <w:color w:val="000000"/>
                <w:kern w:val="0"/>
                <w:sz w:val="18"/>
                <w:szCs w:val="18"/>
              </w:rPr>
            </w:pPr>
          </w:p>
        </w:tc>
        <w:tc>
          <w:tcPr>
            <w:tcW w:w="952" w:type="dxa"/>
            <w:shd w:val="clear" w:color="auto" w:fill="auto"/>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一级</w:t>
            </w:r>
          </w:p>
        </w:tc>
        <w:tc>
          <w:tcPr>
            <w:tcW w:w="822" w:type="dxa"/>
            <w:shd w:val="clear" w:color="auto" w:fill="auto"/>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二级</w:t>
            </w:r>
          </w:p>
        </w:tc>
        <w:tc>
          <w:tcPr>
            <w:tcW w:w="1401" w:type="dxa"/>
            <w:gridSpan w:val="2"/>
            <w:vMerge w:val="continue"/>
            <w:vAlign w:val="center"/>
          </w:tcPr>
          <w:p>
            <w:pPr>
              <w:widowControl/>
              <w:spacing w:line="240" w:lineRule="auto"/>
              <w:jc w:val="center"/>
              <w:rPr>
                <w:rFonts w:ascii="宋体" w:hAnsi="宋体" w:cs="宋体"/>
                <w:b/>
                <w:bCs/>
                <w:color w:val="000000"/>
                <w:kern w:val="0"/>
                <w:sz w:val="18"/>
                <w:szCs w:val="18"/>
              </w:rPr>
            </w:pPr>
          </w:p>
        </w:tc>
        <w:tc>
          <w:tcPr>
            <w:tcW w:w="1114" w:type="dxa"/>
            <w:vMerge w:val="continue"/>
            <w:vAlign w:val="center"/>
          </w:tcPr>
          <w:p>
            <w:pPr>
              <w:widowControl/>
              <w:spacing w:line="240" w:lineRule="auto"/>
              <w:jc w:val="center"/>
              <w:rPr>
                <w:rFonts w:ascii="宋体" w:hAnsi="宋体" w:cs="宋体"/>
                <w:b/>
                <w:bCs/>
                <w:color w:val="000000"/>
                <w:kern w:val="0"/>
                <w:sz w:val="18"/>
                <w:szCs w:val="18"/>
              </w:rPr>
            </w:pPr>
          </w:p>
        </w:tc>
        <w:tc>
          <w:tcPr>
            <w:tcW w:w="922" w:type="dxa"/>
            <w:vMerge w:val="restart"/>
            <w:shd w:val="clear" w:color="000000" w:fill="FFFFFF"/>
            <w:noWrap/>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总投资</w:t>
            </w:r>
          </w:p>
        </w:tc>
        <w:tc>
          <w:tcPr>
            <w:tcW w:w="884" w:type="dxa"/>
            <w:vMerge w:val="restart"/>
            <w:shd w:val="clear" w:color="000000" w:fill="FFFFFF"/>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补助</w:t>
            </w:r>
          </w:p>
        </w:tc>
        <w:tc>
          <w:tcPr>
            <w:tcW w:w="642" w:type="dxa"/>
            <w:vMerge w:val="restart"/>
            <w:shd w:val="clear" w:color="auto" w:fill="auto"/>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在建</w:t>
            </w:r>
          </w:p>
        </w:tc>
        <w:tc>
          <w:tcPr>
            <w:tcW w:w="843" w:type="dxa"/>
            <w:shd w:val="clear" w:color="auto" w:fill="auto"/>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可研</w:t>
            </w:r>
          </w:p>
        </w:tc>
        <w:tc>
          <w:tcPr>
            <w:tcW w:w="844" w:type="dxa"/>
            <w:vMerge w:val="restart"/>
            <w:shd w:val="clear" w:color="auto" w:fill="auto"/>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初设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vMerge w:val="continue"/>
            <w:vAlign w:val="center"/>
          </w:tcPr>
          <w:p>
            <w:pPr>
              <w:widowControl/>
              <w:spacing w:line="240" w:lineRule="auto"/>
              <w:jc w:val="center"/>
              <w:rPr>
                <w:rFonts w:ascii="宋体" w:hAnsi="宋体" w:cs="宋体"/>
                <w:b/>
                <w:bCs/>
                <w:color w:val="000000"/>
                <w:kern w:val="0"/>
                <w:sz w:val="18"/>
                <w:szCs w:val="18"/>
              </w:rPr>
            </w:pPr>
          </w:p>
        </w:tc>
        <w:tc>
          <w:tcPr>
            <w:tcW w:w="959" w:type="dxa"/>
            <w:vMerge w:val="continue"/>
            <w:vAlign w:val="center"/>
          </w:tcPr>
          <w:p>
            <w:pPr>
              <w:widowControl/>
              <w:spacing w:line="240" w:lineRule="auto"/>
              <w:jc w:val="center"/>
              <w:rPr>
                <w:rFonts w:ascii="宋体" w:hAnsi="宋体" w:cs="宋体"/>
                <w:b/>
                <w:bCs/>
                <w:color w:val="000000"/>
                <w:kern w:val="0"/>
                <w:sz w:val="18"/>
                <w:szCs w:val="18"/>
              </w:rPr>
            </w:pPr>
          </w:p>
        </w:tc>
        <w:tc>
          <w:tcPr>
            <w:tcW w:w="3205" w:type="dxa"/>
            <w:vMerge w:val="continue"/>
            <w:vAlign w:val="center"/>
          </w:tcPr>
          <w:p>
            <w:pPr>
              <w:widowControl/>
              <w:spacing w:line="240" w:lineRule="auto"/>
              <w:jc w:val="center"/>
              <w:rPr>
                <w:rFonts w:ascii="宋体" w:hAnsi="宋体" w:cs="宋体"/>
                <w:b/>
                <w:bCs/>
                <w:color w:val="000000"/>
                <w:kern w:val="0"/>
                <w:sz w:val="18"/>
                <w:szCs w:val="18"/>
              </w:rPr>
            </w:pPr>
          </w:p>
        </w:tc>
        <w:tc>
          <w:tcPr>
            <w:tcW w:w="906" w:type="dxa"/>
            <w:vMerge w:val="continue"/>
            <w:shd w:val="clear" w:color="auto" w:fill="auto"/>
            <w:vAlign w:val="center"/>
          </w:tcPr>
          <w:p>
            <w:pPr>
              <w:widowControl/>
              <w:spacing w:line="240" w:lineRule="auto"/>
              <w:jc w:val="center"/>
              <w:rPr>
                <w:rFonts w:ascii="宋体" w:hAnsi="宋体" w:cs="宋体"/>
                <w:color w:val="000000"/>
                <w:kern w:val="0"/>
                <w:sz w:val="18"/>
                <w:szCs w:val="18"/>
              </w:rPr>
            </w:pPr>
          </w:p>
        </w:tc>
        <w:tc>
          <w:tcPr>
            <w:tcW w:w="952" w:type="dxa"/>
            <w:shd w:val="clear" w:color="auto" w:fill="auto"/>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(公里)</w:t>
            </w:r>
          </w:p>
        </w:tc>
        <w:tc>
          <w:tcPr>
            <w:tcW w:w="822" w:type="dxa"/>
            <w:shd w:val="clear" w:color="auto" w:fill="auto"/>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(公里)</w:t>
            </w:r>
          </w:p>
        </w:tc>
        <w:tc>
          <w:tcPr>
            <w:tcW w:w="1401" w:type="dxa"/>
            <w:gridSpan w:val="2"/>
            <w:vMerge w:val="continue"/>
            <w:vAlign w:val="center"/>
          </w:tcPr>
          <w:p>
            <w:pPr>
              <w:widowControl/>
              <w:spacing w:line="240" w:lineRule="auto"/>
              <w:jc w:val="center"/>
              <w:rPr>
                <w:rFonts w:ascii="宋体" w:hAnsi="宋体" w:cs="宋体"/>
                <w:b/>
                <w:bCs/>
                <w:color w:val="000000"/>
                <w:kern w:val="0"/>
                <w:sz w:val="18"/>
                <w:szCs w:val="18"/>
              </w:rPr>
            </w:pPr>
          </w:p>
        </w:tc>
        <w:tc>
          <w:tcPr>
            <w:tcW w:w="1114" w:type="dxa"/>
            <w:vMerge w:val="continue"/>
            <w:vAlign w:val="center"/>
          </w:tcPr>
          <w:p>
            <w:pPr>
              <w:widowControl/>
              <w:spacing w:line="240" w:lineRule="auto"/>
              <w:jc w:val="center"/>
              <w:rPr>
                <w:rFonts w:ascii="宋体" w:hAnsi="宋体" w:cs="宋体"/>
                <w:b/>
                <w:bCs/>
                <w:color w:val="000000"/>
                <w:kern w:val="0"/>
                <w:sz w:val="18"/>
                <w:szCs w:val="18"/>
              </w:rPr>
            </w:pPr>
          </w:p>
        </w:tc>
        <w:tc>
          <w:tcPr>
            <w:tcW w:w="922" w:type="dxa"/>
            <w:vMerge w:val="continue"/>
            <w:vAlign w:val="center"/>
          </w:tcPr>
          <w:p>
            <w:pPr>
              <w:widowControl/>
              <w:spacing w:line="240" w:lineRule="auto"/>
              <w:jc w:val="center"/>
              <w:rPr>
                <w:rFonts w:ascii="宋体" w:hAnsi="宋体" w:cs="宋体"/>
                <w:b/>
                <w:bCs/>
                <w:color w:val="000000"/>
                <w:kern w:val="0"/>
                <w:sz w:val="18"/>
                <w:szCs w:val="18"/>
              </w:rPr>
            </w:pPr>
          </w:p>
        </w:tc>
        <w:tc>
          <w:tcPr>
            <w:tcW w:w="884" w:type="dxa"/>
            <w:vMerge w:val="continue"/>
            <w:vAlign w:val="center"/>
          </w:tcPr>
          <w:p>
            <w:pPr>
              <w:widowControl/>
              <w:spacing w:line="240" w:lineRule="auto"/>
              <w:jc w:val="center"/>
              <w:rPr>
                <w:rFonts w:ascii="宋体" w:hAnsi="宋体" w:cs="宋体"/>
                <w:b/>
                <w:bCs/>
                <w:color w:val="000000"/>
                <w:kern w:val="0"/>
                <w:sz w:val="18"/>
                <w:szCs w:val="18"/>
              </w:rPr>
            </w:pPr>
          </w:p>
        </w:tc>
        <w:tc>
          <w:tcPr>
            <w:tcW w:w="642" w:type="dxa"/>
            <w:vMerge w:val="continue"/>
            <w:vAlign w:val="center"/>
          </w:tcPr>
          <w:p>
            <w:pPr>
              <w:widowControl/>
              <w:spacing w:line="240" w:lineRule="auto"/>
              <w:jc w:val="center"/>
              <w:rPr>
                <w:rFonts w:ascii="宋体" w:hAnsi="宋体" w:cs="宋体"/>
                <w:b/>
                <w:bCs/>
                <w:color w:val="000000"/>
                <w:kern w:val="0"/>
                <w:sz w:val="18"/>
                <w:szCs w:val="18"/>
              </w:rPr>
            </w:pPr>
          </w:p>
        </w:tc>
        <w:tc>
          <w:tcPr>
            <w:tcW w:w="843" w:type="dxa"/>
            <w:shd w:val="clear" w:color="auto" w:fill="auto"/>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(工可)</w:t>
            </w:r>
          </w:p>
        </w:tc>
        <w:tc>
          <w:tcPr>
            <w:tcW w:w="844" w:type="dxa"/>
            <w:vMerge w:val="continue"/>
            <w:vAlign w:val="center"/>
          </w:tcPr>
          <w:p>
            <w:pPr>
              <w:widowControl/>
              <w:spacing w:line="240" w:lineRule="auto"/>
              <w:jc w:val="center"/>
              <w:rPr>
                <w:rFonts w:ascii="宋体" w:hAnsi="宋体" w:cs="宋体"/>
                <w:b/>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noWrap/>
            <w:vAlign w:val="center"/>
          </w:tcPr>
          <w:p>
            <w:pPr>
              <w:widowControl/>
              <w:spacing w:line="240" w:lineRule="auto"/>
              <w:jc w:val="center"/>
              <w:rPr>
                <w:rFonts w:ascii="宋体" w:hAnsi="宋体" w:cs="宋体"/>
                <w:b/>
                <w:bCs/>
                <w:color w:val="000000"/>
                <w:kern w:val="0"/>
                <w:sz w:val="18"/>
                <w:szCs w:val="18"/>
              </w:rPr>
            </w:pPr>
          </w:p>
        </w:tc>
        <w:tc>
          <w:tcPr>
            <w:tcW w:w="4164" w:type="dxa"/>
            <w:gridSpan w:val="2"/>
            <w:shd w:val="clear" w:color="auto" w:fill="auto"/>
            <w:noWrap/>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合计</w:t>
            </w:r>
          </w:p>
        </w:tc>
        <w:tc>
          <w:tcPr>
            <w:tcW w:w="906" w:type="dxa"/>
            <w:shd w:val="clear" w:color="auto" w:fill="auto"/>
            <w:noWrap/>
            <w:vAlign w:val="center"/>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722.16</w:t>
            </w:r>
          </w:p>
        </w:tc>
        <w:tc>
          <w:tcPr>
            <w:tcW w:w="952" w:type="dxa"/>
            <w:shd w:val="clear" w:color="auto" w:fill="auto"/>
            <w:noWrap/>
            <w:vAlign w:val="center"/>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241.6</w:t>
            </w:r>
          </w:p>
        </w:tc>
        <w:tc>
          <w:tcPr>
            <w:tcW w:w="822" w:type="dxa"/>
            <w:shd w:val="clear" w:color="auto" w:fill="auto"/>
            <w:noWrap/>
            <w:vAlign w:val="center"/>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480.56</w:t>
            </w:r>
          </w:p>
        </w:tc>
        <w:tc>
          <w:tcPr>
            <w:tcW w:w="698" w:type="dxa"/>
            <w:shd w:val="clear" w:color="auto" w:fill="auto"/>
            <w:noWrap/>
            <w:vAlign w:val="center"/>
          </w:tcPr>
          <w:p>
            <w:pPr>
              <w:widowControl/>
              <w:spacing w:line="240" w:lineRule="auto"/>
              <w:jc w:val="center"/>
              <w:rPr>
                <w:rFonts w:ascii="宋体" w:hAnsi="宋体" w:cs="宋体"/>
                <w:b/>
                <w:bCs/>
                <w:color w:val="000000"/>
                <w:kern w:val="0"/>
                <w:sz w:val="18"/>
                <w:szCs w:val="18"/>
              </w:rPr>
            </w:pPr>
          </w:p>
        </w:tc>
        <w:tc>
          <w:tcPr>
            <w:tcW w:w="703" w:type="dxa"/>
            <w:shd w:val="clear" w:color="auto" w:fill="auto"/>
            <w:noWrap/>
            <w:vAlign w:val="center"/>
          </w:tcPr>
          <w:p>
            <w:pPr>
              <w:widowControl/>
              <w:spacing w:line="240" w:lineRule="auto"/>
              <w:jc w:val="center"/>
              <w:rPr>
                <w:rFonts w:ascii="宋体" w:hAnsi="宋体" w:cs="宋体"/>
                <w:b/>
                <w:bCs/>
                <w:color w:val="000000"/>
                <w:kern w:val="0"/>
                <w:sz w:val="18"/>
                <w:szCs w:val="18"/>
              </w:rPr>
            </w:pPr>
          </w:p>
        </w:tc>
        <w:tc>
          <w:tcPr>
            <w:tcW w:w="1114" w:type="dxa"/>
            <w:shd w:val="clear" w:color="auto" w:fill="auto"/>
            <w:noWrap/>
            <w:vAlign w:val="center"/>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2649800</w:t>
            </w:r>
          </w:p>
        </w:tc>
        <w:tc>
          <w:tcPr>
            <w:tcW w:w="922" w:type="dxa"/>
            <w:shd w:val="clear" w:color="auto" w:fill="auto"/>
            <w:noWrap/>
            <w:vAlign w:val="center"/>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534000</w:t>
            </w:r>
          </w:p>
        </w:tc>
        <w:tc>
          <w:tcPr>
            <w:tcW w:w="884" w:type="dxa"/>
            <w:shd w:val="clear" w:color="auto" w:fill="auto"/>
            <w:noWrap/>
            <w:vAlign w:val="center"/>
          </w:tcPr>
          <w:p>
            <w:pPr>
              <w:jc w:val="center"/>
              <w:rPr>
                <w:rFonts w:ascii="宋体" w:hAnsi="宋体" w:cs="宋体"/>
                <w:b/>
                <w:bCs/>
                <w:color w:val="000000"/>
                <w:kern w:val="0"/>
                <w:sz w:val="18"/>
                <w:szCs w:val="18"/>
              </w:rPr>
            </w:pPr>
            <w:r>
              <w:rPr>
                <w:rFonts w:ascii="宋体" w:hAnsi="宋体" w:cs="宋体"/>
                <w:b/>
                <w:bCs/>
                <w:color w:val="000000"/>
                <w:kern w:val="0"/>
                <w:sz w:val="18"/>
                <w:szCs w:val="18"/>
              </w:rPr>
              <w:t>134983</w:t>
            </w:r>
          </w:p>
        </w:tc>
        <w:tc>
          <w:tcPr>
            <w:tcW w:w="642" w:type="dxa"/>
            <w:shd w:val="clear" w:color="auto" w:fill="auto"/>
            <w:noWrap/>
            <w:vAlign w:val="center"/>
          </w:tcPr>
          <w:p>
            <w:pPr>
              <w:widowControl/>
              <w:spacing w:line="240" w:lineRule="auto"/>
              <w:jc w:val="center"/>
              <w:rPr>
                <w:rFonts w:ascii="宋体" w:hAnsi="宋体" w:cs="宋体"/>
                <w:b/>
                <w:bCs/>
                <w:color w:val="000000"/>
                <w:kern w:val="0"/>
                <w:sz w:val="18"/>
                <w:szCs w:val="18"/>
              </w:rPr>
            </w:pPr>
          </w:p>
        </w:tc>
        <w:tc>
          <w:tcPr>
            <w:tcW w:w="843" w:type="dxa"/>
            <w:shd w:val="clear" w:color="auto" w:fill="auto"/>
            <w:noWrap/>
            <w:vAlign w:val="center"/>
          </w:tcPr>
          <w:p>
            <w:pPr>
              <w:widowControl/>
              <w:spacing w:line="240" w:lineRule="auto"/>
              <w:jc w:val="center"/>
              <w:rPr>
                <w:rFonts w:ascii="宋体" w:hAnsi="宋体" w:cs="宋体"/>
                <w:b/>
                <w:bCs/>
                <w:color w:val="000000"/>
                <w:kern w:val="0"/>
                <w:sz w:val="18"/>
                <w:szCs w:val="18"/>
              </w:rPr>
            </w:pPr>
          </w:p>
        </w:tc>
        <w:tc>
          <w:tcPr>
            <w:tcW w:w="844" w:type="dxa"/>
            <w:shd w:val="clear" w:color="auto" w:fill="auto"/>
            <w:noWrap/>
            <w:vAlign w:val="center"/>
          </w:tcPr>
          <w:p>
            <w:pPr>
              <w:widowControl/>
              <w:spacing w:line="240" w:lineRule="auto"/>
              <w:jc w:val="center"/>
              <w:rPr>
                <w:rFonts w:ascii="宋体" w:hAnsi="宋体" w:cs="宋体"/>
                <w:b/>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noWrap/>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一</w:t>
            </w:r>
          </w:p>
        </w:tc>
        <w:tc>
          <w:tcPr>
            <w:tcW w:w="4164" w:type="dxa"/>
            <w:gridSpan w:val="2"/>
            <w:shd w:val="clear" w:color="auto" w:fill="auto"/>
            <w:noWrap/>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普通国道</w:t>
            </w:r>
          </w:p>
        </w:tc>
        <w:tc>
          <w:tcPr>
            <w:tcW w:w="906" w:type="dxa"/>
            <w:shd w:val="clear" w:color="auto" w:fill="auto"/>
            <w:noWrap/>
            <w:vAlign w:val="center"/>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464.6</w:t>
            </w:r>
          </w:p>
        </w:tc>
        <w:tc>
          <w:tcPr>
            <w:tcW w:w="952" w:type="dxa"/>
            <w:shd w:val="clear" w:color="auto" w:fill="auto"/>
            <w:noWrap/>
            <w:vAlign w:val="center"/>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191.6</w:t>
            </w:r>
          </w:p>
        </w:tc>
        <w:tc>
          <w:tcPr>
            <w:tcW w:w="822" w:type="dxa"/>
            <w:shd w:val="clear" w:color="auto" w:fill="auto"/>
            <w:noWrap/>
            <w:vAlign w:val="center"/>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273.0</w:t>
            </w:r>
          </w:p>
        </w:tc>
        <w:tc>
          <w:tcPr>
            <w:tcW w:w="698" w:type="dxa"/>
            <w:shd w:val="clear" w:color="auto" w:fill="auto"/>
            <w:noWrap/>
            <w:vAlign w:val="center"/>
          </w:tcPr>
          <w:p>
            <w:pPr>
              <w:widowControl/>
              <w:spacing w:line="240" w:lineRule="auto"/>
              <w:jc w:val="center"/>
              <w:rPr>
                <w:rFonts w:ascii="宋体" w:hAnsi="宋体" w:cs="宋体"/>
                <w:b/>
                <w:bCs/>
                <w:color w:val="000000"/>
                <w:kern w:val="0"/>
                <w:sz w:val="18"/>
                <w:szCs w:val="18"/>
              </w:rPr>
            </w:pPr>
          </w:p>
        </w:tc>
        <w:tc>
          <w:tcPr>
            <w:tcW w:w="703" w:type="dxa"/>
            <w:shd w:val="clear" w:color="auto" w:fill="auto"/>
            <w:noWrap/>
            <w:vAlign w:val="center"/>
          </w:tcPr>
          <w:p>
            <w:pPr>
              <w:widowControl/>
              <w:spacing w:line="240" w:lineRule="auto"/>
              <w:jc w:val="center"/>
              <w:rPr>
                <w:rFonts w:ascii="宋体" w:hAnsi="宋体" w:cs="宋体"/>
                <w:b/>
                <w:bCs/>
                <w:color w:val="000000"/>
                <w:kern w:val="0"/>
                <w:sz w:val="18"/>
                <w:szCs w:val="18"/>
              </w:rPr>
            </w:pPr>
          </w:p>
        </w:tc>
        <w:tc>
          <w:tcPr>
            <w:tcW w:w="1114" w:type="dxa"/>
            <w:shd w:val="clear" w:color="auto" w:fill="auto"/>
            <w:noWrap/>
            <w:vAlign w:val="center"/>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1957000</w:t>
            </w:r>
          </w:p>
        </w:tc>
        <w:tc>
          <w:tcPr>
            <w:tcW w:w="922" w:type="dxa"/>
            <w:shd w:val="clear" w:color="auto" w:fill="auto"/>
            <w:noWrap/>
            <w:vAlign w:val="center"/>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411000</w:t>
            </w:r>
          </w:p>
        </w:tc>
        <w:tc>
          <w:tcPr>
            <w:tcW w:w="884" w:type="dxa"/>
            <w:shd w:val="clear" w:color="auto" w:fill="auto"/>
            <w:noWrap/>
            <w:vAlign w:val="center"/>
          </w:tcPr>
          <w:p>
            <w:pPr>
              <w:jc w:val="center"/>
              <w:rPr>
                <w:rFonts w:ascii="宋体" w:hAnsi="宋体" w:cs="宋体"/>
                <w:b/>
                <w:bCs/>
                <w:color w:val="000000"/>
                <w:kern w:val="0"/>
                <w:sz w:val="18"/>
                <w:szCs w:val="18"/>
              </w:rPr>
            </w:pPr>
            <w:r>
              <w:rPr>
                <w:rFonts w:ascii="宋体" w:hAnsi="宋体" w:cs="宋体"/>
                <w:b/>
                <w:bCs/>
                <w:color w:val="000000"/>
                <w:kern w:val="0"/>
                <w:sz w:val="18"/>
                <w:szCs w:val="18"/>
              </w:rPr>
              <w:t>134983</w:t>
            </w:r>
          </w:p>
        </w:tc>
        <w:tc>
          <w:tcPr>
            <w:tcW w:w="642" w:type="dxa"/>
            <w:shd w:val="clear" w:color="auto" w:fill="auto"/>
            <w:noWrap/>
            <w:vAlign w:val="center"/>
          </w:tcPr>
          <w:p>
            <w:pPr>
              <w:widowControl/>
              <w:spacing w:line="240" w:lineRule="auto"/>
              <w:jc w:val="center"/>
              <w:rPr>
                <w:rFonts w:ascii="宋体" w:hAnsi="宋体" w:cs="宋体"/>
                <w:b/>
                <w:bCs/>
                <w:color w:val="000000"/>
                <w:kern w:val="0"/>
                <w:sz w:val="18"/>
                <w:szCs w:val="18"/>
              </w:rPr>
            </w:pPr>
          </w:p>
        </w:tc>
        <w:tc>
          <w:tcPr>
            <w:tcW w:w="843" w:type="dxa"/>
            <w:shd w:val="clear" w:color="auto" w:fill="auto"/>
            <w:noWrap/>
            <w:vAlign w:val="center"/>
          </w:tcPr>
          <w:p>
            <w:pPr>
              <w:widowControl/>
              <w:spacing w:line="240" w:lineRule="auto"/>
              <w:jc w:val="center"/>
              <w:rPr>
                <w:rFonts w:ascii="宋体" w:hAnsi="宋体" w:cs="宋体"/>
                <w:b/>
                <w:bCs/>
                <w:color w:val="000000"/>
                <w:kern w:val="0"/>
                <w:sz w:val="18"/>
                <w:szCs w:val="18"/>
              </w:rPr>
            </w:pPr>
          </w:p>
        </w:tc>
        <w:tc>
          <w:tcPr>
            <w:tcW w:w="844" w:type="dxa"/>
            <w:shd w:val="clear" w:color="auto" w:fill="auto"/>
            <w:noWrap/>
            <w:vAlign w:val="center"/>
          </w:tcPr>
          <w:p>
            <w:pPr>
              <w:widowControl/>
              <w:spacing w:line="240" w:lineRule="auto"/>
              <w:jc w:val="center"/>
              <w:rPr>
                <w:rFonts w:ascii="宋体" w:hAnsi="宋体" w:cs="宋体"/>
                <w:b/>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noWrap/>
            <w:vAlign w:val="center"/>
          </w:tcPr>
          <w:p>
            <w:pPr>
              <w:widowControl/>
              <w:spacing w:line="240" w:lineRule="auto"/>
              <w:jc w:val="center"/>
              <w:rPr>
                <w:rFonts w:ascii="宋体" w:hAnsi="宋体" w:cs="宋体"/>
                <w:b/>
                <w:bCs/>
                <w:color w:val="000000"/>
                <w:kern w:val="0"/>
                <w:sz w:val="18"/>
                <w:szCs w:val="18"/>
              </w:rPr>
            </w:pPr>
          </w:p>
        </w:tc>
        <w:tc>
          <w:tcPr>
            <w:tcW w:w="4164" w:type="dxa"/>
            <w:gridSpan w:val="2"/>
            <w:shd w:val="clear" w:color="auto" w:fill="auto"/>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十三五跨十四五项目</w:t>
            </w:r>
          </w:p>
        </w:tc>
        <w:tc>
          <w:tcPr>
            <w:tcW w:w="906" w:type="dxa"/>
            <w:shd w:val="clear" w:color="auto" w:fill="auto"/>
            <w:noWrap/>
            <w:vAlign w:val="center"/>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138</w:t>
            </w:r>
          </w:p>
        </w:tc>
        <w:tc>
          <w:tcPr>
            <w:tcW w:w="952" w:type="dxa"/>
            <w:shd w:val="clear" w:color="auto" w:fill="auto"/>
            <w:noWrap/>
            <w:vAlign w:val="center"/>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26</w:t>
            </w:r>
          </w:p>
        </w:tc>
        <w:tc>
          <w:tcPr>
            <w:tcW w:w="822" w:type="dxa"/>
            <w:shd w:val="clear" w:color="auto" w:fill="auto"/>
            <w:noWrap/>
            <w:vAlign w:val="center"/>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112</w:t>
            </w:r>
          </w:p>
        </w:tc>
        <w:tc>
          <w:tcPr>
            <w:tcW w:w="698" w:type="dxa"/>
            <w:shd w:val="clear" w:color="auto" w:fill="auto"/>
            <w:noWrap/>
            <w:vAlign w:val="center"/>
          </w:tcPr>
          <w:p>
            <w:pPr>
              <w:widowControl/>
              <w:spacing w:line="240" w:lineRule="auto"/>
              <w:jc w:val="center"/>
              <w:rPr>
                <w:rFonts w:ascii="宋体" w:hAnsi="宋体" w:cs="宋体"/>
                <w:b/>
                <w:bCs/>
                <w:color w:val="000000"/>
                <w:kern w:val="0"/>
                <w:sz w:val="18"/>
                <w:szCs w:val="18"/>
              </w:rPr>
            </w:pPr>
          </w:p>
        </w:tc>
        <w:tc>
          <w:tcPr>
            <w:tcW w:w="703" w:type="dxa"/>
            <w:shd w:val="clear" w:color="auto" w:fill="auto"/>
            <w:noWrap/>
            <w:vAlign w:val="center"/>
          </w:tcPr>
          <w:p>
            <w:pPr>
              <w:widowControl/>
              <w:spacing w:line="240" w:lineRule="auto"/>
              <w:jc w:val="center"/>
              <w:rPr>
                <w:rFonts w:ascii="宋体" w:hAnsi="宋体" w:cs="宋体"/>
                <w:b/>
                <w:bCs/>
                <w:color w:val="000000"/>
                <w:kern w:val="0"/>
                <w:sz w:val="18"/>
                <w:szCs w:val="18"/>
              </w:rPr>
            </w:pPr>
          </w:p>
        </w:tc>
        <w:tc>
          <w:tcPr>
            <w:tcW w:w="1114" w:type="dxa"/>
            <w:shd w:val="clear" w:color="auto" w:fill="auto"/>
            <w:noWrap/>
            <w:vAlign w:val="center"/>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410000</w:t>
            </w:r>
          </w:p>
        </w:tc>
        <w:tc>
          <w:tcPr>
            <w:tcW w:w="922" w:type="dxa"/>
            <w:shd w:val="clear" w:color="auto" w:fill="auto"/>
            <w:noWrap/>
            <w:vAlign w:val="center"/>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228000</w:t>
            </w:r>
          </w:p>
        </w:tc>
        <w:tc>
          <w:tcPr>
            <w:tcW w:w="884" w:type="dxa"/>
            <w:shd w:val="clear" w:color="auto" w:fill="auto"/>
            <w:noWrap/>
            <w:vAlign w:val="center"/>
          </w:tcPr>
          <w:p>
            <w:pPr>
              <w:jc w:val="center"/>
              <w:rPr>
                <w:rFonts w:ascii="宋体" w:hAnsi="宋体" w:cs="宋体"/>
                <w:b/>
                <w:bCs/>
                <w:color w:val="000000"/>
                <w:kern w:val="0"/>
                <w:sz w:val="18"/>
                <w:szCs w:val="18"/>
              </w:rPr>
            </w:pPr>
            <w:r>
              <w:rPr>
                <w:rFonts w:ascii="宋体" w:hAnsi="宋体" w:cs="宋体"/>
                <w:b/>
                <w:bCs/>
                <w:color w:val="000000"/>
                <w:kern w:val="0"/>
                <w:sz w:val="18"/>
                <w:szCs w:val="18"/>
              </w:rPr>
              <w:t>40636</w:t>
            </w:r>
          </w:p>
        </w:tc>
        <w:tc>
          <w:tcPr>
            <w:tcW w:w="642" w:type="dxa"/>
            <w:shd w:val="clear" w:color="auto" w:fill="auto"/>
            <w:noWrap/>
            <w:vAlign w:val="center"/>
          </w:tcPr>
          <w:p>
            <w:pPr>
              <w:widowControl/>
              <w:spacing w:line="240" w:lineRule="auto"/>
              <w:jc w:val="center"/>
              <w:rPr>
                <w:rFonts w:ascii="宋体" w:hAnsi="宋体" w:cs="宋体"/>
                <w:b/>
                <w:bCs/>
                <w:color w:val="000000"/>
                <w:kern w:val="0"/>
                <w:sz w:val="18"/>
                <w:szCs w:val="18"/>
              </w:rPr>
            </w:pPr>
          </w:p>
        </w:tc>
        <w:tc>
          <w:tcPr>
            <w:tcW w:w="843" w:type="dxa"/>
            <w:shd w:val="clear" w:color="auto" w:fill="auto"/>
            <w:noWrap/>
            <w:vAlign w:val="center"/>
          </w:tcPr>
          <w:p>
            <w:pPr>
              <w:widowControl/>
              <w:spacing w:line="240" w:lineRule="auto"/>
              <w:jc w:val="center"/>
              <w:rPr>
                <w:rFonts w:ascii="宋体" w:hAnsi="宋体" w:cs="宋体"/>
                <w:b/>
                <w:bCs/>
                <w:color w:val="000000"/>
                <w:kern w:val="0"/>
                <w:sz w:val="18"/>
                <w:szCs w:val="18"/>
              </w:rPr>
            </w:pPr>
          </w:p>
        </w:tc>
        <w:tc>
          <w:tcPr>
            <w:tcW w:w="844" w:type="dxa"/>
            <w:shd w:val="clear" w:color="auto" w:fill="auto"/>
            <w:noWrap/>
            <w:vAlign w:val="center"/>
          </w:tcPr>
          <w:p>
            <w:pPr>
              <w:widowControl/>
              <w:spacing w:line="240" w:lineRule="auto"/>
              <w:jc w:val="center"/>
              <w:rPr>
                <w:rFonts w:ascii="宋体" w:hAnsi="宋体" w:cs="宋体"/>
                <w:b/>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5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盘州市</w:t>
            </w:r>
          </w:p>
        </w:tc>
        <w:tc>
          <w:tcPr>
            <w:tcW w:w="3205"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G246盘州普古垭口至淤泥公路</w:t>
            </w:r>
          </w:p>
        </w:tc>
        <w:tc>
          <w:tcPr>
            <w:tcW w:w="906"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改扩建</w:t>
            </w:r>
          </w:p>
        </w:tc>
        <w:tc>
          <w:tcPr>
            <w:tcW w:w="95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22"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26</w:t>
            </w:r>
          </w:p>
        </w:tc>
        <w:tc>
          <w:tcPr>
            <w:tcW w:w="698"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2018</w:t>
            </w:r>
          </w:p>
        </w:tc>
        <w:tc>
          <w:tcPr>
            <w:tcW w:w="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w:t>
            </w:r>
            <w:r>
              <w:rPr>
                <w:rFonts w:ascii="宋体" w:hAnsi="宋体" w:cs="宋体"/>
                <w:color w:val="000000"/>
                <w:kern w:val="0"/>
                <w:sz w:val="18"/>
                <w:szCs w:val="18"/>
              </w:rPr>
              <w:t>2</w:t>
            </w:r>
          </w:p>
        </w:tc>
        <w:tc>
          <w:tcPr>
            <w:tcW w:w="1114" w:type="dxa"/>
            <w:shd w:val="clear" w:color="auto" w:fill="auto"/>
            <w:vAlign w:val="center"/>
          </w:tcPr>
          <w:p>
            <w:pPr>
              <w:jc w:val="center"/>
              <w:rPr>
                <w:rFonts w:ascii="宋体" w:hAnsi="宋体" w:cs="宋体"/>
                <w:color w:val="000000"/>
                <w:kern w:val="0"/>
                <w:sz w:val="18"/>
                <w:szCs w:val="18"/>
              </w:rPr>
            </w:pPr>
            <w:r>
              <w:rPr>
                <w:rFonts w:ascii="宋体" w:hAnsi="宋体" w:cs="宋体"/>
                <w:color w:val="000000"/>
                <w:kern w:val="0"/>
                <w:sz w:val="18"/>
                <w:szCs w:val="18"/>
              </w:rPr>
              <w:t>31000</w:t>
            </w:r>
          </w:p>
        </w:tc>
        <w:tc>
          <w:tcPr>
            <w:tcW w:w="922" w:type="dxa"/>
            <w:shd w:val="clear" w:color="auto" w:fill="auto"/>
            <w:vAlign w:val="center"/>
          </w:tcPr>
          <w:p>
            <w:pPr>
              <w:jc w:val="center"/>
              <w:rPr>
                <w:rFonts w:ascii="宋体" w:hAnsi="宋体" w:cs="宋体"/>
                <w:color w:val="000000"/>
                <w:kern w:val="0"/>
                <w:sz w:val="18"/>
                <w:szCs w:val="18"/>
              </w:rPr>
            </w:pPr>
            <w:r>
              <w:rPr>
                <w:rFonts w:ascii="宋体" w:hAnsi="宋体" w:cs="宋体"/>
                <w:color w:val="000000"/>
                <w:kern w:val="0"/>
                <w:sz w:val="18"/>
                <w:szCs w:val="18"/>
              </w:rPr>
              <w:t>2000</w:t>
            </w:r>
          </w:p>
        </w:tc>
        <w:tc>
          <w:tcPr>
            <w:tcW w:w="884" w:type="dxa"/>
            <w:shd w:val="clear" w:color="auto" w:fill="auto"/>
            <w:noWrap/>
            <w:vAlign w:val="center"/>
          </w:tcPr>
          <w:p>
            <w:pPr>
              <w:jc w:val="center"/>
              <w:rPr>
                <w:rFonts w:ascii="宋体" w:hAnsi="宋体" w:cs="宋体"/>
                <w:color w:val="000000"/>
                <w:kern w:val="0"/>
                <w:sz w:val="18"/>
                <w:szCs w:val="18"/>
              </w:rPr>
            </w:pPr>
          </w:p>
        </w:tc>
        <w:tc>
          <w:tcPr>
            <w:tcW w:w="642"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在建</w:t>
            </w:r>
          </w:p>
        </w:tc>
        <w:tc>
          <w:tcPr>
            <w:tcW w:w="843"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c>
          <w:tcPr>
            <w:tcW w:w="844"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95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盘州市</w:t>
            </w:r>
          </w:p>
        </w:tc>
        <w:tc>
          <w:tcPr>
            <w:tcW w:w="3205"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G246盘州鸡场坪至刘官公路</w:t>
            </w:r>
          </w:p>
        </w:tc>
        <w:tc>
          <w:tcPr>
            <w:tcW w:w="906"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改扩建</w:t>
            </w:r>
          </w:p>
        </w:tc>
        <w:tc>
          <w:tcPr>
            <w:tcW w:w="95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82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98"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2020</w:t>
            </w:r>
          </w:p>
        </w:tc>
        <w:tc>
          <w:tcPr>
            <w:tcW w:w="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2022</w:t>
            </w:r>
          </w:p>
        </w:tc>
        <w:tc>
          <w:tcPr>
            <w:tcW w:w="1114" w:type="dxa"/>
            <w:shd w:val="clear" w:color="auto" w:fill="auto"/>
            <w:vAlign w:val="center"/>
          </w:tcPr>
          <w:p>
            <w:pPr>
              <w:jc w:val="center"/>
              <w:rPr>
                <w:rFonts w:ascii="宋体" w:hAnsi="宋体" w:cs="宋体"/>
                <w:color w:val="000000"/>
                <w:kern w:val="0"/>
                <w:sz w:val="18"/>
                <w:szCs w:val="18"/>
              </w:rPr>
            </w:pPr>
            <w:r>
              <w:rPr>
                <w:rFonts w:ascii="宋体" w:hAnsi="宋体" w:cs="宋体"/>
                <w:color w:val="000000"/>
                <w:kern w:val="0"/>
                <w:sz w:val="18"/>
                <w:szCs w:val="18"/>
              </w:rPr>
              <w:t>137000</w:t>
            </w:r>
          </w:p>
        </w:tc>
        <w:tc>
          <w:tcPr>
            <w:tcW w:w="922" w:type="dxa"/>
            <w:shd w:val="clear" w:color="auto" w:fill="auto"/>
            <w:vAlign w:val="center"/>
          </w:tcPr>
          <w:p>
            <w:pPr>
              <w:jc w:val="center"/>
              <w:rPr>
                <w:rFonts w:ascii="宋体" w:hAnsi="宋体" w:cs="宋体"/>
                <w:color w:val="000000"/>
                <w:kern w:val="0"/>
                <w:sz w:val="18"/>
                <w:szCs w:val="18"/>
              </w:rPr>
            </w:pPr>
            <w:r>
              <w:rPr>
                <w:rFonts w:ascii="宋体" w:hAnsi="宋体" w:cs="宋体"/>
                <w:color w:val="000000"/>
                <w:kern w:val="0"/>
                <w:sz w:val="18"/>
                <w:szCs w:val="18"/>
              </w:rPr>
              <w:t>100000</w:t>
            </w:r>
          </w:p>
        </w:tc>
        <w:tc>
          <w:tcPr>
            <w:tcW w:w="884" w:type="dxa"/>
            <w:shd w:val="clear" w:color="auto" w:fill="auto"/>
            <w:noWrap/>
            <w:vAlign w:val="center"/>
          </w:tcPr>
          <w:p>
            <w:pPr>
              <w:jc w:val="center"/>
              <w:rPr>
                <w:rFonts w:ascii="宋体" w:hAnsi="宋体" w:cs="宋体"/>
                <w:color w:val="000000"/>
                <w:kern w:val="0"/>
                <w:sz w:val="18"/>
                <w:szCs w:val="18"/>
              </w:rPr>
            </w:pPr>
          </w:p>
        </w:tc>
        <w:tc>
          <w:tcPr>
            <w:tcW w:w="642"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在建</w:t>
            </w:r>
          </w:p>
        </w:tc>
        <w:tc>
          <w:tcPr>
            <w:tcW w:w="843"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c>
          <w:tcPr>
            <w:tcW w:w="844"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95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水城区</w:t>
            </w:r>
          </w:p>
        </w:tc>
        <w:tc>
          <w:tcPr>
            <w:tcW w:w="3205"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G356水城花泥坝至纸厂公路</w:t>
            </w:r>
          </w:p>
        </w:tc>
        <w:tc>
          <w:tcPr>
            <w:tcW w:w="906"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改扩建</w:t>
            </w:r>
          </w:p>
        </w:tc>
        <w:tc>
          <w:tcPr>
            <w:tcW w:w="95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2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37</w:t>
            </w:r>
          </w:p>
        </w:tc>
        <w:tc>
          <w:tcPr>
            <w:tcW w:w="698"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2019</w:t>
            </w:r>
          </w:p>
        </w:tc>
        <w:tc>
          <w:tcPr>
            <w:tcW w:w="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2022</w:t>
            </w:r>
          </w:p>
        </w:tc>
        <w:tc>
          <w:tcPr>
            <w:tcW w:w="1114" w:type="dxa"/>
            <w:shd w:val="clear" w:color="auto" w:fill="auto"/>
            <w:vAlign w:val="center"/>
          </w:tcPr>
          <w:p>
            <w:pPr>
              <w:jc w:val="center"/>
              <w:rPr>
                <w:rFonts w:ascii="宋体" w:hAnsi="宋体" w:cs="宋体"/>
                <w:color w:val="000000"/>
                <w:kern w:val="0"/>
                <w:sz w:val="18"/>
                <w:szCs w:val="18"/>
              </w:rPr>
            </w:pPr>
            <w:r>
              <w:rPr>
                <w:rFonts w:ascii="宋体" w:hAnsi="宋体" w:cs="宋体"/>
                <w:color w:val="000000"/>
                <w:kern w:val="0"/>
                <w:sz w:val="18"/>
                <w:szCs w:val="18"/>
              </w:rPr>
              <w:t>88000</w:t>
            </w:r>
          </w:p>
        </w:tc>
        <w:tc>
          <w:tcPr>
            <w:tcW w:w="922" w:type="dxa"/>
            <w:shd w:val="clear" w:color="auto" w:fill="auto"/>
            <w:vAlign w:val="center"/>
          </w:tcPr>
          <w:p>
            <w:pPr>
              <w:jc w:val="center"/>
              <w:rPr>
                <w:rFonts w:ascii="宋体" w:hAnsi="宋体" w:cs="宋体"/>
                <w:color w:val="000000"/>
                <w:kern w:val="0"/>
                <w:sz w:val="18"/>
                <w:szCs w:val="18"/>
              </w:rPr>
            </w:pPr>
            <w:r>
              <w:rPr>
                <w:rFonts w:ascii="宋体" w:hAnsi="宋体" w:cs="宋体"/>
                <w:color w:val="000000"/>
                <w:kern w:val="0"/>
                <w:sz w:val="18"/>
                <w:szCs w:val="18"/>
              </w:rPr>
              <w:t>59000</w:t>
            </w:r>
          </w:p>
        </w:tc>
        <w:tc>
          <w:tcPr>
            <w:tcW w:w="884" w:type="dxa"/>
            <w:shd w:val="clear" w:color="auto" w:fill="auto"/>
            <w:noWrap/>
            <w:vAlign w:val="center"/>
          </w:tcPr>
          <w:p>
            <w:pPr>
              <w:jc w:val="center"/>
              <w:rPr>
                <w:rFonts w:ascii="宋体" w:hAnsi="宋体" w:cs="宋体"/>
                <w:color w:val="000000"/>
                <w:kern w:val="0"/>
                <w:sz w:val="18"/>
                <w:szCs w:val="18"/>
              </w:rPr>
            </w:pPr>
            <w:r>
              <w:rPr>
                <w:rFonts w:ascii="宋体" w:hAnsi="宋体" w:cs="宋体"/>
                <w:color w:val="000000"/>
                <w:kern w:val="0"/>
                <w:sz w:val="18"/>
                <w:szCs w:val="18"/>
              </w:rPr>
              <w:t>16072</w:t>
            </w:r>
          </w:p>
        </w:tc>
        <w:tc>
          <w:tcPr>
            <w:tcW w:w="642"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在建</w:t>
            </w:r>
          </w:p>
        </w:tc>
        <w:tc>
          <w:tcPr>
            <w:tcW w:w="843"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c>
          <w:tcPr>
            <w:tcW w:w="844"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95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六枝特区</w:t>
            </w:r>
          </w:p>
        </w:tc>
        <w:tc>
          <w:tcPr>
            <w:tcW w:w="3205"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G356六枝落别至大用公路</w:t>
            </w:r>
          </w:p>
        </w:tc>
        <w:tc>
          <w:tcPr>
            <w:tcW w:w="906"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改扩建</w:t>
            </w:r>
          </w:p>
        </w:tc>
        <w:tc>
          <w:tcPr>
            <w:tcW w:w="95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82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98"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2019</w:t>
            </w:r>
          </w:p>
        </w:tc>
        <w:tc>
          <w:tcPr>
            <w:tcW w:w="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w:t>
            </w:r>
            <w:r>
              <w:rPr>
                <w:rFonts w:ascii="宋体" w:hAnsi="宋体" w:cs="宋体"/>
                <w:color w:val="000000"/>
                <w:kern w:val="0"/>
                <w:sz w:val="18"/>
                <w:szCs w:val="18"/>
              </w:rPr>
              <w:t>2</w:t>
            </w:r>
          </w:p>
        </w:tc>
        <w:tc>
          <w:tcPr>
            <w:tcW w:w="1114" w:type="dxa"/>
            <w:shd w:val="clear" w:color="auto" w:fill="auto"/>
            <w:vAlign w:val="center"/>
          </w:tcPr>
          <w:p>
            <w:pPr>
              <w:jc w:val="center"/>
              <w:rPr>
                <w:rFonts w:ascii="宋体" w:hAnsi="宋体" w:cs="宋体"/>
                <w:color w:val="000000"/>
                <w:kern w:val="0"/>
                <w:sz w:val="18"/>
                <w:szCs w:val="18"/>
              </w:rPr>
            </w:pPr>
            <w:r>
              <w:rPr>
                <w:rFonts w:ascii="宋体" w:hAnsi="宋体" w:cs="宋体"/>
                <w:color w:val="000000"/>
                <w:kern w:val="0"/>
                <w:sz w:val="18"/>
                <w:szCs w:val="18"/>
              </w:rPr>
              <w:t>48000</w:t>
            </w:r>
          </w:p>
        </w:tc>
        <w:tc>
          <w:tcPr>
            <w:tcW w:w="922" w:type="dxa"/>
            <w:shd w:val="clear" w:color="auto" w:fill="auto"/>
            <w:vAlign w:val="center"/>
          </w:tcPr>
          <w:p>
            <w:pPr>
              <w:jc w:val="center"/>
              <w:rPr>
                <w:rFonts w:ascii="宋体" w:hAnsi="宋体" w:cs="宋体"/>
                <w:color w:val="000000"/>
                <w:kern w:val="0"/>
                <w:sz w:val="18"/>
                <w:szCs w:val="18"/>
              </w:rPr>
            </w:pPr>
            <w:r>
              <w:rPr>
                <w:rFonts w:ascii="宋体" w:hAnsi="宋体" w:cs="宋体"/>
                <w:color w:val="000000"/>
                <w:kern w:val="0"/>
                <w:sz w:val="18"/>
                <w:szCs w:val="18"/>
              </w:rPr>
              <w:t>32000</w:t>
            </w:r>
          </w:p>
        </w:tc>
        <w:tc>
          <w:tcPr>
            <w:tcW w:w="884" w:type="dxa"/>
            <w:shd w:val="clear" w:color="auto" w:fill="auto"/>
            <w:noWrap/>
            <w:vAlign w:val="center"/>
          </w:tcPr>
          <w:p>
            <w:pPr>
              <w:jc w:val="center"/>
              <w:rPr>
                <w:rFonts w:ascii="宋体" w:hAnsi="宋体" w:cs="宋体"/>
                <w:color w:val="000000"/>
                <w:kern w:val="0"/>
                <w:sz w:val="18"/>
                <w:szCs w:val="18"/>
              </w:rPr>
            </w:pPr>
            <w:r>
              <w:rPr>
                <w:rFonts w:ascii="宋体" w:hAnsi="宋体" w:cs="宋体"/>
                <w:color w:val="000000"/>
                <w:kern w:val="0"/>
                <w:sz w:val="18"/>
                <w:szCs w:val="18"/>
              </w:rPr>
              <w:t>2820</w:t>
            </w:r>
          </w:p>
        </w:tc>
        <w:tc>
          <w:tcPr>
            <w:tcW w:w="642"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在建</w:t>
            </w:r>
          </w:p>
        </w:tc>
        <w:tc>
          <w:tcPr>
            <w:tcW w:w="843"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c>
          <w:tcPr>
            <w:tcW w:w="844"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95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水城区</w:t>
            </w:r>
          </w:p>
        </w:tc>
        <w:tc>
          <w:tcPr>
            <w:tcW w:w="3205"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G246水城姬官营至普古垭口公路</w:t>
            </w:r>
          </w:p>
        </w:tc>
        <w:tc>
          <w:tcPr>
            <w:tcW w:w="906"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改扩建</w:t>
            </w:r>
          </w:p>
        </w:tc>
        <w:tc>
          <w:tcPr>
            <w:tcW w:w="95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22"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49</w:t>
            </w:r>
          </w:p>
        </w:tc>
        <w:tc>
          <w:tcPr>
            <w:tcW w:w="698"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2017</w:t>
            </w:r>
          </w:p>
        </w:tc>
        <w:tc>
          <w:tcPr>
            <w:tcW w:w="703"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2022</w:t>
            </w:r>
          </w:p>
        </w:tc>
        <w:tc>
          <w:tcPr>
            <w:tcW w:w="1114" w:type="dxa"/>
            <w:shd w:val="clear" w:color="auto" w:fill="auto"/>
            <w:vAlign w:val="center"/>
          </w:tcPr>
          <w:p>
            <w:pPr>
              <w:jc w:val="center"/>
              <w:rPr>
                <w:rFonts w:ascii="宋体" w:hAnsi="宋体" w:cs="宋体"/>
                <w:color w:val="000000"/>
                <w:kern w:val="0"/>
                <w:sz w:val="18"/>
                <w:szCs w:val="18"/>
              </w:rPr>
            </w:pPr>
            <w:r>
              <w:rPr>
                <w:rFonts w:ascii="宋体" w:hAnsi="宋体" w:cs="宋体"/>
                <w:color w:val="000000"/>
                <w:kern w:val="0"/>
                <w:sz w:val="18"/>
                <w:szCs w:val="18"/>
              </w:rPr>
              <w:t>106000</w:t>
            </w:r>
          </w:p>
        </w:tc>
        <w:tc>
          <w:tcPr>
            <w:tcW w:w="922" w:type="dxa"/>
            <w:shd w:val="clear" w:color="auto" w:fill="auto"/>
            <w:vAlign w:val="center"/>
          </w:tcPr>
          <w:p>
            <w:pPr>
              <w:jc w:val="center"/>
              <w:rPr>
                <w:rFonts w:ascii="宋体" w:hAnsi="宋体" w:cs="宋体"/>
                <w:color w:val="000000"/>
                <w:kern w:val="0"/>
                <w:sz w:val="18"/>
                <w:szCs w:val="18"/>
              </w:rPr>
            </w:pPr>
            <w:r>
              <w:rPr>
                <w:rFonts w:ascii="宋体" w:hAnsi="宋体" w:cs="宋体"/>
                <w:color w:val="000000"/>
                <w:kern w:val="0"/>
                <w:sz w:val="18"/>
                <w:szCs w:val="18"/>
              </w:rPr>
              <w:t>35000</w:t>
            </w:r>
          </w:p>
        </w:tc>
        <w:tc>
          <w:tcPr>
            <w:tcW w:w="884" w:type="dxa"/>
            <w:shd w:val="clear" w:color="auto" w:fill="auto"/>
            <w:noWrap/>
            <w:vAlign w:val="center"/>
          </w:tcPr>
          <w:p>
            <w:pPr>
              <w:jc w:val="center"/>
              <w:rPr>
                <w:sz w:val="18"/>
                <w:szCs w:val="18"/>
              </w:rPr>
            </w:pPr>
            <w:r>
              <w:rPr>
                <w:rFonts w:ascii="宋体" w:hAnsi="宋体" w:cs="宋体"/>
                <w:color w:val="000000"/>
                <w:kern w:val="0"/>
                <w:sz w:val="18"/>
                <w:szCs w:val="18"/>
              </w:rPr>
              <w:t>21744</w:t>
            </w:r>
          </w:p>
        </w:tc>
        <w:tc>
          <w:tcPr>
            <w:tcW w:w="642"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在建</w:t>
            </w:r>
          </w:p>
        </w:tc>
        <w:tc>
          <w:tcPr>
            <w:tcW w:w="843"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c>
          <w:tcPr>
            <w:tcW w:w="844"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164" w:type="dxa"/>
            <w:gridSpan w:val="2"/>
            <w:shd w:val="clear" w:color="auto" w:fill="auto"/>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十四五新开工项目</w:t>
            </w:r>
          </w:p>
        </w:tc>
        <w:tc>
          <w:tcPr>
            <w:tcW w:w="906" w:type="dxa"/>
            <w:shd w:val="clear" w:color="auto" w:fill="auto"/>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138.2</w:t>
            </w:r>
          </w:p>
        </w:tc>
        <w:tc>
          <w:tcPr>
            <w:tcW w:w="952" w:type="dxa"/>
            <w:shd w:val="clear" w:color="auto" w:fill="auto"/>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17.2</w:t>
            </w:r>
          </w:p>
        </w:tc>
        <w:tc>
          <w:tcPr>
            <w:tcW w:w="822" w:type="dxa"/>
            <w:shd w:val="clear" w:color="auto" w:fill="auto"/>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121</w:t>
            </w:r>
          </w:p>
        </w:tc>
        <w:tc>
          <w:tcPr>
            <w:tcW w:w="698"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14" w:type="dxa"/>
            <w:shd w:val="clear" w:color="auto" w:fill="auto"/>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291000</w:t>
            </w:r>
          </w:p>
        </w:tc>
        <w:tc>
          <w:tcPr>
            <w:tcW w:w="922" w:type="dxa"/>
            <w:shd w:val="clear" w:color="auto" w:fill="auto"/>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183000</w:t>
            </w:r>
          </w:p>
        </w:tc>
        <w:tc>
          <w:tcPr>
            <w:tcW w:w="884" w:type="dxa"/>
            <w:shd w:val="clear" w:color="auto" w:fill="auto"/>
            <w:noWrap/>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94347</w:t>
            </w:r>
          </w:p>
        </w:tc>
        <w:tc>
          <w:tcPr>
            <w:tcW w:w="642"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43"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44"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1</w:t>
            </w:r>
          </w:p>
        </w:tc>
        <w:tc>
          <w:tcPr>
            <w:tcW w:w="95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盘州市</w:t>
            </w:r>
          </w:p>
        </w:tc>
        <w:tc>
          <w:tcPr>
            <w:tcW w:w="3205"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G246盘州刘官至赵官公路</w:t>
            </w:r>
          </w:p>
        </w:tc>
        <w:tc>
          <w:tcPr>
            <w:tcW w:w="906"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改扩建</w:t>
            </w:r>
          </w:p>
        </w:tc>
        <w:tc>
          <w:tcPr>
            <w:tcW w:w="95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17.2</w:t>
            </w:r>
          </w:p>
        </w:tc>
        <w:tc>
          <w:tcPr>
            <w:tcW w:w="82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98"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w:t>
            </w:r>
            <w:r>
              <w:rPr>
                <w:rFonts w:ascii="宋体" w:hAnsi="宋体" w:cs="宋体"/>
                <w:color w:val="000000"/>
                <w:kern w:val="0"/>
                <w:sz w:val="18"/>
                <w:szCs w:val="18"/>
              </w:rPr>
              <w:t>23</w:t>
            </w:r>
          </w:p>
        </w:tc>
        <w:tc>
          <w:tcPr>
            <w:tcW w:w="703"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2025</w:t>
            </w:r>
          </w:p>
        </w:tc>
        <w:tc>
          <w:tcPr>
            <w:tcW w:w="111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122000</w:t>
            </w:r>
          </w:p>
        </w:tc>
        <w:tc>
          <w:tcPr>
            <w:tcW w:w="922"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60000</w:t>
            </w:r>
          </w:p>
        </w:tc>
        <w:tc>
          <w:tcPr>
            <w:tcW w:w="88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41280</w:t>
            </w:r>
          </w:p>
        </w:tc>
        <w:tc>
          <w:tcPr>
            <w:tcW w:w="6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84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c>
          <w:tcPr>
            <w:tcW w:w="844"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开展中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2</w:t>
            </w:r>
          </w:p>
        </w:tc>
        <w:tc>
          <w:tcPr>
            <w:tcW w:w="95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盘州市</w:t>
            </w:r>
          </w:p>
        </w:tc>
        <w:tc>
          <w:tcPr>
            <w:tcW w:w="3205"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G320普安三板桥至盘州刘官公路</w:t>
            </w:r>
          </w:p>
        </w:tc>
        <w:tc>
          <w:tcPr>
            <w:tcW w:w="906"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95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2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24</w:t>
            </w:r>
          </w:p>
        </w:tc>
        <w:tc>
          <w:tcPr>
            <w:tcW w:w="698"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2021</w:t>
            </w:r>
          </w:p>
        </w:tc>
        <w:tc>
          <w:tcPr>
            <w:tcW w:w="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w:t>
            </w:r>
            <w:r>
              <w:rPr>
                <w:rFonts w:ascii="宋体" w:hAnsi="宋体" w:cs="宋体"/>
                <w:color w:val="000000"/>
                <w:kern w:val="0"/>
                <w:sz w:val="18"/>
                <w:szCs w:val="18"/>
              </w:rPr>
              <w:t>023</w:t>
            </w:r>
          </w:p>
        </w:tc>
        <w:tc>
          <w:tcPr>
            <w:tcW w:w="111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23000</w:t>
            </w:r>
          </w:p>
        </w:tc>
        <w:tc>
          <w:tcPr>
            <w:tcW w:w="922"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23000</w:t>
            </w:r>
          </w:p>
        </w:tc>
        <w:tc>
          <w:tcPr>
            <w:tcW w:w="884" w:type="dxa"/>
            <w:shd w:val="clear" w:color="auto" w:fill="auto"/>
            <w:vAlign w:val="center"/>
          </w:tcPr>
          <w:p>
            <w:pPr>
              <w:widowControl/>
              <w:spacing w:line="240" w:lineRule="auto"/>
              <w:jc w:val="center"/>
              <w:rPr>
                <w:rFonts w:ascii="宋体" w:hAnsi="宋体" w:cs="宋体"/>
                <w:color w:val="000000"/>
                <w:kern w:val="0"/>
                <w:sz w:val="18"/>
                <w:szCs w:val="18"/>
              </w:rPr>
            </w:pPr>
          </w:p>
        </w:tc>
        <w:tc>
          <w:tcPr>
            <w:tcW w:w="6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843"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c>
          <w:tcPr>
            <w:tcW w:w="844"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3</w:t>
            </w:r>
          </w:p>
        </w:tc>
        <w:tc>
          <w:tcPr>
            <w:tcW w:w="95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水城区</w:t>
            </w:r>
          </w:p>
        </w:tc>
        <w:tc>
          <w:tcPr>
            <w:tcW w:w="3205"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G246水城俄脚至姬官营公路</w:t>
            </w:r>
          </w:p>
        </w:tc>
        <w:tc>
          <w:tcPr>
            <w:tcW w:w="906"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95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2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33</w:t>
            </w:r>
          </w:p>
        </w:tc>
        <w:tc>
          <w:tcPr>
            <w:tcW w:w="698"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2021</w:t>
            </w:r>
          </w:p>
        </w:tc>
        <w:tc>
          <w:tcPr>
            <w:tcW w:w="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2022</w:t>
            </w:r>
          </w:p>
        </w:tc>
        <w:tc>
          <w:tcPr>
            <w:tcW w:w="111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50000</w:t>
            </w:r>
          </w:p>
        </w:tc>
        <w:tc>
          <w:tcPr>
            <w:tcW w:w="922"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50000</w:t>
            </w:r>
          </w:p>
        </w:tc>
        <w:tc>
          <w:tcPr>
            <w:tcW w:w="88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26400</w:t>
            </w:r>
          </w:p>
        </w:tc>
        <w:tc>
          <w:tcPr>
            <w:tcW w:w="6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84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开展中</w:t>
            </w:r>
          </w:p>
        </w:tc>
        <w:tc>
          <w:tcPr>
            <w:tcW w:w="844"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4</w:t>
            </w:r>
          </w:p>
        </w:tc>
        <w:tc>
          <w:tcPr>
            <w:tcW w:w="95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盘州市</w:t>
            </w:r>
          </w:p>
        </w:tc>
        <w:tc>
          <w:tcPr>
            <w:tcW w:w="3205"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G246盘州赵官至补西垭口公路</w:t>
            </w:r>
          </w:p>
        </w:tc>
        <w:tc>
          <w:tcPr>
            <w:tcW w:w="906"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95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2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64</w:t>
            </w:r>
          </w:p>
        </w:tc>
        <w:tc>
          <w:tcPr>
            <w:tcW w:w="698"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2022</w:t>
            </w:r>
          </w:p>
        </w:tc>
        <w:tc>
          <w:tcPr>
            <w:tcW w:w="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w:t>
            </w:r>
            <w:r>
              <w:rPr>
                <w:rFonts w:ascii="宋体" w:hAnsi="宋体" w:cs="宋体"/>
                <w:color w:val="000000"/>
                <w:kern w:val="0"/>
                <w:sz w:val="18"/>
                <w:szCs w:val="18"/>
              </w:rPr>
              <w:t>26</w:t>
            </w:r>
          </w:p>
        </w:tc>
        <w:tc>
          <w:tcPr>
            <w:tcW w:w="111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96000</w:t>
            </w:r>
          </w:p>
        </w:tc>
        <w:tc>
          <w:tcPr>
            <w:tcW w:w="922"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50000</w:t>
            </w:r>
          </w:p>
        </w:tc>
        <w:tc>
          <w:tcPr>
            <w:tcW w:w="88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26667</w:t>
            </w:r>
          </w:p>
        </w:tc>
        <w:tc>
          <w:tcPr>
            <w:tcW w:w="6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84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开展中</w:t>
            </w:r>
          </w:p>
        </w:tc>
        <w:tc>
          <w:tcPr>
            <w:tcW w:w="844"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vAlign w:val="center"/>
          </w:tcPr>
          <w:p>
            <w:pPr>
              <w:widowControl/>
              <w:spacing w:line="240" w:lineRule="auto"/>
              <w:jc w:val="center"/>
              <w:rPr>
                <w:rFonts w:ascii="宋体" w:hAnsi="宋体" w:cs="宋体"/>
                <w:color w:val="000000"/>
                <w:kern w:val="0"/>
                <w:sz w:val="18"/>
                <w:szCs w:val="18"/>
              </w:rPr>
            </w:pPr>
          </w:p>
        </w:tc>
        <w:tc>
          <w:tcPr>
            <w:tcW w:w="4164" w:type="dxa"/>
            <w:gridSpan w:val="2"/>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b/>
                <w:bCs/>
                <w:color w:val="000000"/>
                <w:kern w:val="0"/>
                <w:sz w:val="18"/>
                <w:szCs w:val="18"/>
              </w:rPr>
              <w:t>十四五储备项目</w:t>
            </w:r>
          </w:p>
        </w:tc>
        <w:tc>
          <w:tcPr>
            <w:tcW w:w="906" w:type="dxa"/>
            <w:shd w:val="clear" w:color="auto" w:fill="auto"/>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188.4</w:t>
            </w:r>
          </w:p>
        </w:tc>
        <w:tc>
          <w:tcPr>
            <w:tcW w:w="952" w:type="dxa"/>
            <w:shd w:val="clear" w:color="auto" w:fill="auto"/>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148.4</w:t>
            </w:r>
          </w:p>
        </w:tc>
        <w:tc>
          <w:tcPr>
            <w:tcW w:w="822" w:type="dxa"/>
            <w:shd w:val="clear" w:color="auto" w:fill="auto"/>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40</w:t>
            </w:r>
          </w:p>
        </w:tc>
        <w:tc>
          <w:tcPr>
            <w:tcW w:w="698" w:type="dxa"/>
            <w:shd w:val="clear" w:color="auto" w:fill="auto"/>
          </w:tcPr>
          <w:p>
            <w:pPr>
              <w:widowControl/>
              <w:spacing w:line="240" w:lineRule="auto"/>
              <w:jc w:val="center"/>
              <w:rPr>
                <w:rFonts w:ascii="宋体" w:hAnsi="宋体" w:cs="宋体"/>
                <w:b/>
                <w:bCs/>
                <w:color w:val="000000"/>
                <w:kern w:val="0"/>
                <w:sz w:val="18"/>
                <w:szCs w:val="18"/>
              </w:rPr>
            </w:pPr>
          </w:p>
        </w:tc>
        <w:tc>
          <w:tcPr>
            <w:tcW w:w="703" w:type="dxa"/>
            <w:shd w:val="clear" w:color="auto" w:fill="auto"/>
          </w:tcPr>
          <w:p>
            <w:pPr>
              <w:widowControl/>
              <w:spacing w:line="240" w:lineRule="auto"/>
              <w:jc w:val="center"/>
              <w:rPr>
                <w:rFonts w:ascii="宋体" w:hAnsi="宋体" w:cs="宋体"/>
                <w:b/>
                <w:bCs/>
                <w:color w:val="000000"/>
                <w:kern w:val="0"/>
                <w:sz w:val="18"/>
                <w:szCs w:val="18"/>
              </w:rPr>
            </w:pPr>
          </w:p>
        </w:tc>
        <w:tc>
          <w:tcPr>
            <w:tcW w:w="1114" w:type="dxa"/>
            <w:shd w:val="clear" w:color="auto" w:fill="auto"/>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1256000</w:t>
            </w:r>
          </w:p>
        </w:tc>
        <w:tc>
          <w:tcPr>
            <w:tcW w:w="922" w:type="dxa"/>
            <w:shd w:val="clear" w:color="auto" w:fill="auto"/>
            <w:vAlign w:val="center"/>
          </w:tcPr>
          <w:p>
            <w:pPr>
              <w:widowControl/>
              <w:spacing w:line="240" w:lineRule="auto"/>
              <w:jc w:val="center"/>
              <w:rPr>
                <w:rFonts w:ascii="宋体" w:hAnsi="宋体" w:cs="宋体"/>
                <w:color w:val="000000"/>
                <w:kern w:val="0"/>
                <w:sz w:val="18"/>
                <w:szCs w:val="18"/>
              </w:rPr>
            </w:pPr>
          </w:p>
        </w:tc>
        <w:tc>
          <w:tcPr>
            <w:tcW w:w="884" w:type="dxa"/>
            <w:shd w:val="clear" w:color="auto" w:fill="auto"/>
            <w:vAlign w:val="center"/>
          </w:tcPr>
          <w:p>
            <w:pPr>
              <w:widowControl/>
              <w:spacing w:line="240" w:lineRule="auto"/>
              <w:jc w:val="center"/>
              <w:rPr>
                <w:rFonts w:ascii="宋体" w:hAnsi="宋体" w:cs="宋体"/>
                <w:color w:val="000000"/>
                <w:kern w:val="0"/>
                <w:sz w:val="18"/>
                <w:szCs w:val="18"/>
              </w:rPr>
            </w:pPr>
          </w:p>
        </w:tc>
        <w:tc>
          <w:tcPr>
            <w:tcW w:w="642" w:type="dxa"/>
            <w:shd w:val="clear" w:color="auto" w:fill="auto"/>
            <w:vAlign w:val="center"/>
          </w:tcPr>
          <w:p>
            <w:pPr>
              <w:widowControl/>
              <w:spacing w:line="240" w:lineRule="auto"/>
              <w:jc w:val="center"/>
              <w:rPr>
                <w:rFonts w:ascii="宋体" w:hAnsi="宋体" w:cs="宋体"/>
                <w:color w:val="000000"/>
                <w:kern w:val="0"/>
                <w:sz w:val="18"/>
                <w:szCs w:val="18"/>
              </w:rPr>
            </w:pPr>
          </w:p>
        </w:tc>
        <w:tc>
          <w:tcPr>
            <w:tcW w:w="843" w:type="dxa"/>
            <w:shd w:val="clear" w:color="auto" w:fill="auto"/>
            <w:vAlign w:val="center"/>
          </w:tcPr>
          <w:p>
            <w:pPr>
              <w:widowControl/>
              <w:spacing w:line="240" w:lineRule="auto"/>
              <w:jc w:val="center"/>
              <w:rPr>
                <w:rFonts w:ascii="宋体" w:hAnsi="宋体" w:cs="宋体"/>
                <w:color w:val="000000"/>
                <w:kern w:val="0"/>
                <w:sz w:val="18"/>
                <w:szCs w:val="18"/>
              </w:rPr>
            </w:pPr>
          </w:p>
        </w:tc>
        <w:tc>
          <w:tcPr>
            <w:tcW w:w="844" w:type="dxa"/>
            <w:shd w:val="clear" w:color="auto" w:fill="auto"/>
            <w:vAlign w:val="center"/>
          </w:tcPr>
          <w:p>
            <w:pPr>
              <w:widowControl/>
              <w:spacing w:line="240" w:lineRule="auto"/>
              <w:jc w:val="center"/>
              <w:rPr>
                <w:rFonts w:ascii="宋体" w:hAnsi="宋体"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1</w:t>
            </w:r>
          </w:p>
        </w:tc>
        <w:tc>
          <w:tcPr>
            <w:tcW w:w="95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盘州市</w:t>
            </w:r>
          </w:p>
        </w:tc>
        <w:tc>
          <w:tcPr>
            <w:tcW w:w="3205"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G320盘州赵官至红果公路</w:t>
            </w:r>
          </w:p>
        </w:tc>
        <w:tc>
          <w:tcPr>
            <w:tcW w:w="906"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95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82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98"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w:t>
            </w:r>
            <w:r>
              <w:rPr>
                <w:rFonts w:ascii="宋体" w:hAnsi="宋体" w:cs="宋体"/>
                <w:color w:val="000000"/>
                <w:kern w:val="0"/>
                <w:sz w:val="18"/>
                <w:szCs w:val="18"/>
              </w:rPr>
              <w:t>5</w:t>
            </w:r>
          </w:p>
        </w:tc>
        <w:tc>
          <w:tcPr>
            <w:tcW w:w="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w:t>
            </w:r>
            <w:r>
              <w:rPr>
                <w:rFonts w:ascii="宋体" w:hAnsi="宋体" w:cs="宋体"/>
                <w:color w:val="000000"/>
                <w:kern w:val="0"/>
                <w:sz w:val="18"/>
                <w:szCs w:val="18"/>
              </w:rPr>
              <w:t>7</w:t>
            </w:r>
          </w:p>
        </w:tc>
        <w:tc>
          <w:tcPr>
            <w:tcW w:w="111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256000</w:t>
            </w:r>
          </w:p>
        </w:tc>
        <w:tc>
          <w:tcPr>
            <w:tcW w:w="922" w:type="dxa"/>
            <w:shd w:val="clear" w:color="auto" w:fill="auto"/>
            <w:vAlign w:val="center"/>
          </w:tcPr>
          <w:p>
            <w:pPr>
              <w:widowControl/>
              <w:spacing w:line="240" w:lineRule="auto"/>
              <w:jc w:val="center"/>
              <w:rPr>
                <w:rFonts w:ascii="宋体" w:hAnsi="宋体" w:cs="宋体"/>
                <w:color w:val="000000"/>
                <w:kern w:val="0"/>
                <w:sz w:val="18"/>
                <w:szCs w:val="18"/>
              </w:rPr>
            </w:pPr>
          </w:p>
        </w:tc>
        <w:tc>
          <w:tcPr>
            <w:tcW w:w="884" w:type="dxa"/>
            <w:shd w:val="clear" w:color="auto" w:fill="auto"/>
            <w:vAlign w:val="center"/>
          </w:tcPr>
          <w:p>
            <w:pPr>
              <w:widowControl/>
              <w:spacing w:line="240" w:lineRule="auto"/>
              <w:jc w:val="center"/>
              <w:rPr>
                <w:rFonts w:ascii="宋体" w:hAnsi="宋体" w:cs="宋体"/>
                <w:color w:val="000000"/>
                <w:kern w:val="0"/>
                <w:sz w:val="18"/>
                <w:szCs w:val="18"/>
              </w:rPr>
            </w:pPr>
          </w:p>
        </w:tc>
        <w:tc>
          <w:tcPr>
            <w:tcW w:w="6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84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开展中</w:t>
            </w:r>
          </w:p>
        </w:tc>
        <w:tc>
          <w:tcPr>
            <w:tcW w:w="844"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2</w:t>
            </w:r>
          </w:p>
        </w:tc>
        <w:tc>
          <w:tcPr>
            <w:tcW w:w="95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水城区</w:t>
            </w:r>
          </w:p>
        </w:tc>
        <w:tc>
          <w:tcPr>
            <w:tcW w:w="3205"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G246水城经开区至双水一级公路</w:t>
            </w:r>
          </w:p>
        </w:tc>
        <w:tc>
          <w:tcPr>
            <w:tcW w:w="906"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拟建</w:t>
            </w:r>
          </w:p>
        </w:tc>
        <w:tc>
          <w:tcPr>
            <w:tcW w:w="952"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10.4</w:t>
            </w:r>
          </w:p>
        </w:tc>
        <w:tc>
          <w:tcPr>
            <w:tcW w:w="822" w:type="dxa"/>
            <w:shd w:val="clear" w:color="auto" w:fill="auto"/>
            <w:vAlign w:val="center"/>
          </w:tcPr>
          <w:p>
            <w:pPr>
              <w:widowControl/>
              <w:spacing w:line="240" w:lineRule="auto"/>
              <w:jc w:val="center"/>
              <w:rPr>
                <w:rFonts w:ascii="宋体" w:hAnsi="宋体" w:cs="宋体"/>
                <w:color w:val="000000"/>
                <w:kern w:val="0"/>
                <w:sz w:val="18"/>
                <w:szCs w:val="18"/>
              </w:rPr>
            </w:pPr>
          </w:p>
        </w:tc>
        <w:tc>
          <w:tcPr>
            <w:tcW w:w="698"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w:t>
            </w:r>
            <w:r>
              <w:rPr>
                <w:rFonts w:ascii="宋体" w:hAnsi="宋体" w:cs="宋体"/>
                <w:color w:val="000000"/>
                <w:kern w:val="0"/>
                <w:sz w:val="18"/>
                <w:szCs w:val="18"/>
              </w:rPr>
              <w:t>25</w:t>
            </w:r>
          </w:p>
        </w:tc>
        <w:tc>
          <w:tcPr>
            <w:tcW w:w="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w:t>
            </w:r>
            <w:r>
              <w:rPr>
                <w:rFonts w:ascii="宋体" w:hAnsi="宋体" w:cs="宋体"/>
                <w:color w:val="000000"/>
                <w:kern w:val="0"/>
                <w:sz w:val="18"/>
                <w:szCs w:val="18"/>
              </w:rPr>
              <w:t>27</w:t>
            </w:r>
          </w:p>
        </w:tc>
        <w:tc>
          <w:tcPr>
            <w:tcW w:w="111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91000</w:t>
            </w:r>
          </w:p>
        </w:tc>
        <w:tc>
          <w:tcPr>
            <w:tcW w:w="922" w:type="dxa"/>
            <w:shd w:val="clear" w:color="auto" w:fill="auto"/>
            <w:vAlign w:val="center"/>
          </w:tcPr>
          <w:p>
            <w:pPr>
              <w:widowControl/>
              <w:spacing w:line="240" w:lineRule="auto"/>
              <w:jc w:val="center"/>
              <w:rPr>
                <w:rFonts w:ascii="宋体" w:hAnsi="宋体" w:cs="宋体"/>
                <w:color w:val="000000"/>
                <w:kern w:val="0"/>
                <w:sz w:val="18"/>
                <w:szCs w:val="18"/>
              </w:rPr>
            </w:pPr>
          </w:p>
        </w:tc>
        <w:tc>
          <w:tcPr>
            <w:tcW w:w="884" w:type="dxa"/>
            <w:shd w:val="clear" w:color="auto" w:fill="auto"/>
            <w:vAlign w:val="center"/>
          </w:tcPr>
          <w:p>
            <w:pPr>
              <w:widowControl/>
              <w:spacing w:line="240" w:lineRule="auto"/>
              <w:jc w:val="center"/>
              <w:rPr>
                <w:rFonts w:ascii="宋体" w:hAnsi="宋体" w:cs="宋体"/>
                <w:color w:val="000000"/>
                <w:kern w:val="0"/>
                <w:sz w:val="18"/>
                <w:szCs w:val="18"/>
              </w:rPr>
            </w:pPr>
          </w:p>
        </w:tc>
        <w:tc>
          <w:tcPr>
            <w:tcW w:w="6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4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44"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3</w:t>
            </w:r>
          </w:p>
        </w:tc>
        <w:tc>
          <w:tcPr>
            <w:tcW w:w="95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盘州市</w:t>
            </w:r>
          </w:p>
        </w:tc>
        <w:tc>
          <w:tcPr>
            <w:tcW w:w="3205"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G246盘州岩博至鸡场坪公路</w:t>
            </w:r>
          </w:p>
        </w:tc>
        <w:tc>
          <w:tcPr>
            <w:tcW w:w="906"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95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82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98"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w:t>
            </w:r>
            <w:r>
              <w:rPr>
                <w:rFonts w:ascii="宋体" w:hAnsi="宋体" w:cs="宋体"/>
                <w:color w:val="000000"/>
                <w:kern w:val="0"/>
                <w:sz w:val="18"/>
                <w:szCs w:val="18"/>
              </w:rPr>
              <w:t>25</w:t>
            </w:r>
          </w:p>
        </w:tc>
        <w:tc>
          <w:tcPr>
            <w:tcW w:w="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w:t>
            </w:r>
            <w:r>
              <w:rPr>
                <w:rFonts w:ascii="宋体" w:hAnsi="宋体" w:cs="宋体"/>
                <w:color w:val="000000"/>
                <w:kern w:val="0"/>
                <w:sz w:val="18"/>
                <w:szCs w:val="18"/>
              </w:rPr>
              <w:t>27</w:t>
            </w:r>
          </w:p>
        </w:tc>
        <w:tc>
          <w:tcPr>
            <w:tcW w:w="111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137000</w:t>
            </w:r>
          </w:p>
        </w:tc>
        <w:tc>
          <w:tcPr>
            <w:tcW w:w="922" w:type="dxa"/>
            <w:shd w:val="clear" w:color="auto" w:fill="auto"/>
            <w:vAlign w:val="center"/>
          </w:tcPr>
          <w:p>
            <w:pPr>
              <w:widowControl/>
              <w:spacing w:line="240" w:lineRule="auto"/>
              <w:jc w:val="center"/>
              <w:rPr>
                <w:rFonts w:ascii="宋体" w:hAnsi="宋体" w:cs="宋体"/>
                <w:color w:val="000000"/>
                <w:kern w:val="0"/>
                <w:sz w:val="18"/>
                <w:szCs w:val="18"/>
              </w:rPr>
            </w:pPr>
          </w:p>
        </w:tc>
        <w:tc>
          <w:tcPr>
            <w:tcW w:w="884" w:type="dxa"/>
            <w:shd w:val="clear" w:color="auto" w:fill="auto"/>
            <w:vAlign w:val="center"/>
          </w:tcPr>
          <w:p>
            <w:pPr>
              <w:widowControl/>
              <w:spacing w:line="240" w:lineRule="auto"/>
              <w:jc w:val="center"/>
              <w:rPr>
                <w:rFonts w:ascii="宋体" w:hAnsi="宋体" w:cs="宋体"/>
                <w:color w:val="000000"/>
                <w:kern w:val="0"/>
                <w:sz w:val="18"/>
                <w:szCs w:val="18"/>
              </w:rPr>
            </w:pPr>
          </w:p>
        </w:tc>
        <w:tc>
          <w:tcPr>
            <w:tcW w:w="6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84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c>
          <w:tcPr>
            <w:tcW w:w="844"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开展中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4</w:t>
            </w:r>
          </w:p>
        </w:tc>
        <w:tc>
          <w:tcPr>
            <w:tcW w:w="95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钟山区</w:t>
            </w:r>
          </w:p>
        </w:tc>
        <w:tc>
          <w:tcPr>
            <w:tcW w:w="3205"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G246钟山区龙潭口至纸厂公路</w:t>
            </w:r>
          </w:p>
        </w:tc>
        <w:tc>
          <w:tcPr>
            <w:tcW w:w="906"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95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82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698"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w:t>
            </w:r>
            <w:r>
              <w:rPr>
                <w:rFonts w:ascii="宋体" w:hAnsi="宋体" w:cs="宋体"/>
                <w:color w:val="000000"/>
                <w:kern w:val="0"/>
                <w:sz w:val="18"/>
                <w:szCs w:val="18"/>
              </w:rPr>
              <w:t>5</w:t>
            </w:r>
          </w:p>
        </w:tc>
        <w:tc>
          <w:tcPr>
            <w:tcW w:w="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w:t>
            </w:r>
            <w:r>
              <w:rPr>
                <w:rFonts w:ascii="宋体" w:hAnsi="宋体" w:cs="宋体"/>
                <w:color w:val="000000"/>
                <w:kern w:val="0"/>
                <w:sz w:val="18"/>
                <w:szCs w:val="18"/>
              </w:rPr>
              <w:t>7</w:t>
            </w:r>
          </w:p>
        </w:tc>
        <w:tc>
          <w:tcPr>
            <w:tcW w:w="111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260000</w:t>
            </w:r>
          </w:p>
        </w:tc>
        <w:tc>
          <w:tcPr>
            <w:tcW w:w="922" w:type="dxa"/>
            <w:shd w:val="clear" w:color="auto" w:fill="auto"/>
            <w:vAlign w:val="center"/>
          </w:tcPr>
          <w:p>
            <w:pPr>
              <w:widowControl/>
              <w:spacing w:line="240" w:lineRule="auto"/>
              <w:jc w:val="center"/>
              <w:rPr>
                <w:rFonts w:ascii="宋体" w:hAnsi="宋体" w:cs="宋体"/>
                <w:color w:val="000000"/>
                <w:kern w:val="0"/>
                <w:sz w:val="18"/>
                <w:szCs w:val="18"/>
              </w:rPr>
            </w:pPr>
          </w:p>
        </w:tc>
        <w:tc>
          <w:tcPr>
            <w:tcW w:w="884" w:type="dxa"/>
            <w:shd w:val="clear" w:color="auto" w:fill="auto"/>
            <w:vAlign w:val="center"/>
          </w:tcPr>
          <w:p>
            <w:pPr>
              <w:widowControl/>
              <w:spacing w:line="240" w:lineRule="auto"/>
              <w:jc w:val="center"/>
              <w:rPr>
                <w:rFonts w:ascii="宋体" w:hAnsi="宋体" w:cs="宋体"/>
                <w:color w:val="000000"/>
                <w:kern w:val="0"/>
                <w:sz w:val="18"/>
                <w:szCs w:val="18"/>
              </w:rPr>
            </w:pPr>
          </w:p>
        </w:tc>
        <w:tc>
          <w:tcPr>
            <w:tcW w:w="6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84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开展中</w:t>
            </w:r>
          </w:p>
        </w:tc>
        <w:tc>
          <w:tcPr>
            <w:tcW w:w="844"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5</w:t>
            </w:r>
          </w:p>
        </w:tc>
        <w:tc>
          <w:tcPr>
            <w:tcW w:w="95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水城区</w:t>
            </w:r>
          </w:p>
        </w:tc>
        <w:tc>
          <w:tcPr>
            <w:tcW w:w="3205"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G246水城纸厂至俄脚（野玉海）公路</w:t>
            </w:r>
          </w:p>
        </w:tc>
        <w:tc>
          <w:tcPr>
            <w:tcW w:w="906"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95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82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98"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w:t>
            </w:r>
            <w:r>
              <w:rPr>
                <w:rFonts w:ascii="宋体" w:hAnsi="宋体" w:cs="宋体"/>
                <w:color w:val="000000"/>
                <w:kern w:val="0"/>
                <w:sz w:val="18"/>
                <w:szCs w:val="18"/>
              </w:rPr>
              <w:t>5</w:t>
            </w:r>
          </w:p>
        </w:tc>
        <w:tc>
          <w:tcPr>
            <w:tcW w:w="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w:t>
            </w:r>
            <w:r>
              <w:rPr>
                <w:rFonts w:ascii="宋体" w:hAnsi="宋体" w:cs="宋体"/>
                <w:color w:val="000000"/>
                <w:kern w:val="0"/>
                <w:sz w:val="18"/>
                <w:szCs w:val="18"/>
              </w:rPr>
              <w:t>7</w:t>
            </w:r>
          </w:p>
        </w:tc>
        <w:tc>
          <w:tcPr>
            <w:tcW w:w="111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128000</w:t>
            </w:r>
          </w:p>
        </w:tc>
        <w:tc>
          <w:tcPr>
            <w:tcW w:w="922" w:type="dxa"/>
            <w:shd w:val="clear" w:color="auto" w:fill="auto"/>
            <w:vAlign w:val="center"/>
          </w:tcPr>
          <w:p>
            <w:pPr>
              <w:widowControl/>
              <w:spacing w:line="240" w:lineRule="auto"/>
              <w:jc w:val="center"/>
              <w:rPr>
                <w:rFonts w:ascii="宋体" w:hAnsi="宋体" w:cs="宋体"/>
                <w:color w:val="000000"/>
                <w:kern w:val="0"/>
                <w:sz w:val="18"/>
                <w:szCs w:val="18"/>
              </w:rPr>
            </w:pPr>
          </w:p>
        </w:tc>
        <w:tc>
          <w:tcPr>
            <w:tcW w:w="884" w:type="dxa"/>
            <w:shd w:val="clear" w:color="auto" w:fill="auto"/>
            <w:vAlign w:val="center"/>
          </w:tcPr>
          <w:p>
            <w:pPr>
              <w:widowControl/>
              <w:spacing w:line="240" w:lineRule="auto"/>
              <w:jc w:val="center"/>
              <w:rPr>
                <w:rFonts w:ascii="宋体" w:hAnsi="宋体" w:cs="宋体"/>
                <w:color w:val="000000"/>
                <w:kern w:val="0"/>
                <w:sz w:val="18"/>
                <w:szCs w:val="18"/>
              </w:rPr>
            </w:pPr>
          </w:p>
        </w:tc>
        <w:tc>
          <w:tcPr>
            <w:tcW w:w="6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84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开展中</w:t>
            </w:r>
          </w:p>
        </w:tc>
        <w:tc>
          <w:tcPr>
            <w:tcW w:w="844"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6</w:t>
            </w:r>
          </w:p>
        </w:tc>
        <w:tc>
          <w:tcPr>
            <w:tcW w:w="95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六枝特区</w:t>
            </w:r>
          </w:p>
        </w:tc>
        <w:tc>
          <w:tcPr>
            <w:tcW w:w="3205"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G356六枝新窑至长箐公路</w:t>
            </w:r>
          </w:p>
        </w:tc>
        <w:tc>
          <w:tcPr>
            <w:tcW w:w="906"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95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82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98"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w:t>
            </w:r>
            <w:r>
              <w:rPr>
                <w:rFonts w:ascii="宋体" w:hAnsi="宋体" w:cs="宋体"/>
                <w:color w:val="000000"/>
                <w:kern w:val="0"/>
                <w:sz w:val="18"/>
                <w:szCs w:val="18"/>
              </w:rPr>
              <w:t>5</w:t>
            </w:r>
          </w:p>
        </w:tc>
        <w:tc>
          <w:tcPr>
            <w:tcW w:w="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w:t>
            </w:r>
            <w:r>
              <w:rPr>
                <w:rFonts w:ascii="宋体" w:hAnsi="宋体" w:cs="宋体"/>
                <w:color w:val="000000"/>
                <w:kern w:val="0"/>
                <w:sz w:val="18"/>
                <w:szCs w:val="18"/>
              </w:rPr>
              <w:t>7</w:t>
            </w:r>
          </w:p>
        </w:tc>
        <w:tc>
          <w:tcPr>
            <w:tcW w:w="111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144000</w:t>
            </w:r>
          </w:p>
        </w:tc>
        <w:tc>
          <w:tcPr>
            <w:tcW w:w="922" w:type="dxa"/>
            <w:shd w:val="clear" w:color="auto" w:fill="auto"/>
            <w:vAlign w:val="center"/>
          </w:tcPr>
          <w:p>
            <w:pPr>
              <w:widowControl/>
              <w:spacing w:line="240" w:lineRule="auto"/>
              <w:jc w:val="center"/>
              <w:rPr>
                <w:rFonts w:ascii="宋体" w:hAnsi="宋体" w:cs="宋体"/>
                <w:color w:val="000000"/>
                <w:kern w:val="0"/>
                <w:sz w:val="18"/>
                <w:szCs w:val="18"/>
              </w:rPr>
            </w:pPr>
          </w:p>
        </w:tc>
        <w:tc>
          <w:tcPr>
            <w:tcW w:w="884" w:type="dxa"/>
            <w:shd w:val="clear" w:color="auto" w:fill="auto"/>
            <w:vAlign w:val="center"/>
          </w:tcPr>
          <w:p>
            <w:pPr>
              <w:widowControl/>
              <w:spacing w:line="240" w:lineRule="auto"/>
              <w:jc w:val="center"/>
              <w:rPr>
                <w:rFonts w:ascii="宋体" w:hAnsi="宋体" w:cs="宋体"/>
                <w:color w:val="000000"/>
                <w:kern w:val="0"/>
                <w:sz w:val="18"/>
                <w:szCs w:val="18"/>
              </w:rPr>
            </w:pPr>
          </w:p>
        </w:tc>
        <w:tc>
          <w:tcPr>
            <w:tcW w:w="6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84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开展中</w:t>
            </w:r>
          </w:p>
        </w:tc>
        <w:tc>
          <w:tcPr>
            <w:tcW w:w="844"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7</w:t>
            </w:r>
          </w:p>
        </w:tc>
        <w:tc>
          <w:tcPr>
            <w:tcW w:w="95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六枝特区</w:t>
            </w:r>
          </w:p>
        </w:tc>
        <w:tc>
          <w:tcPr>
            <w:tcW w:w="3205"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G356六枝落别至新窑公路</w:t>
            </w:r>
          </w:p>
        </w:tc>
        <w:tc>
          <w:tcPr>
            <w:tcW w:w="906"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95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30</w:t>
            </w:r>
          </w:p>
        </w:tc>
        <w:tc>
          <w:tcPr>
            <w:tcW w:w="82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98"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2025</w:t>
            </w:r>
          </w:p>
        </w:tc>
        <w:tc>
          <w:tcPr>
            <w:tcW w:w="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2027</w:t>
            </w:r>
          </w:p>
        </w:tc>
        <w:tc>
          <w:tcPr>
            <w:tcW w:w="111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240000</w:t>
            </w:r>
          </w:p>
        </w:tc>
        <w:tc>
          <w:tcPr>
            <w:tcW w:w="922" w:type="dxa"/>
            <w:shd w:val="clear" w:color="auto" w:fill="auto"/>
            <w:vAlign w:val="center"/>
          </w:tcPr>
          <w:p>
            <w:pPr>
              <w:widowControl/>
              <w:spacing w:line="240" w:lineRule="auto"/>
              <w:jc w:val="center"/>
              <w:rPr>
                <w:rFonts w:ascii="宋体" w:hAnsi="宋体" w:cs="宋体"/>
                <w:color w:val="000000"/>
                <w:kern w:val="0"/>
                <w:sz w:val="18"/>
                <w:szCs w:val="18"/>
              </w:rPr>
            </w:pPr>
          </w:p>
        </w:tc>
        <w:tc>
          <w:tcPr>
            <w:tcW w:w="884" w:type="dxa"/>
            <w:shd w:val="clear" w:color="auto" w:fill="auto"/>
            <w:vAlign w:val="center"/>
          </w:tcPr>
          <w:p>
            <w:pPr>
              <w:widowControl/>
              <w:spacing w:line="240" w:lineRule="auto"/>
              <w:jc w:val="center"/>
              <w:rPr>
                <w:rFonts w:ascii="宋体" w:hAnsi="宋体" w:cs="宋体"/>
                <w:color w:val="000000"/>
                <w:kern w:val="0"/>
                <w:sz w:val="18"/>
                <w:szCs w:val="18"/>
              </w:rPr>
            </w:pPr>
          </w:p>
        </w:tc>
        <w:tc>
          <w:tcPr>
            <w:tcW w:w="6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84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开展中</w:t>
            </w:r>
          </w:p>
        </w:tc>
        <w:tc>
          <w:tcPr>
            <w:tcW w:w="844"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noWrap/>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二</w:t>
            </w:r>
          </w:p>
        </w:tc>
        <w:tc>
          <w:tcPr>
            <w:tcW w:w="4164" w:type="dxa"/>
            <w:gridSpan w:val="2"/>
            <w:shd w:val="clear" w:color="auto" w:fill="auto"/>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普通省道</w:t>
            </w:r>
          </w:p>
        </w:tc>
        <w:tc>
          <w:tcPr>
            <w:tcW w:w="906" w:type="dxa"/>
            <w:shd w:val="clear" w:color="auto" w:fill="auto"/>
            <w:noWrap/>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235.16</w:t>
            </w:r>
          </w:p>
        </w:tc>
        <w:tc>
          <w:tcPr>
            <w:tcW w:w="952" w:type="dxa"/>
            <w:shd w:val="clear" w:color="auto" w:fill="auto"/>
            <w:noWrap/>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40</w:t>
            </w:r>
          </w:p>
        </w:tc>
        <w:tc>
          <w:tcPr>
            <w:tcW w:w="822" w:type="dxa"/>
            <w:shd w:val="clear" w:color="auto" w:fill="auto"/>
            <w:noWrap/>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195.16</w:t>
            </w:r>
          </w:p>
        </w:tc>
        <w:tc>
          <w:tcPr>
            <w:tcW w:w="698" w:type="dxa"/>
            <w:shd w:val="clear" w:color="auto" w:fill="auto"/>
            <w:noWrap/>
          </w:tcPr>
          <w:p>
            <w:pPr>
              <w:widowControl/>
              <w:spacing w:line="240" w:lineRule="auto"/>
              <w:jc w:val="center"/>
              <w:rPr>
                <w:rFonts w:ascii="宋体" w:hAnsi="宋体" w:cs="宋体"/>
                <w:b/>
                <w:bCs/>
                <w:color w:val="000000"/>
                <w:kern w:val="0"/>
                <w:sz w:val="18"/>
                <w:szCs w:val="18"/>
              </w:rPr>
            </w:pPr>
          </w:p>
        </w:tc>
        <w:tc>
          <w:tcPr>
            <w:tcW w:w="703" w:type="dxa"/>
            <w:shd w:val="clear" w:color="auto" w:fill="auto"/>
            <w:noWrap/>
          </w:tcPr>
          <w:p>
            <w:pPr>
              <w:widowControl/>
              <w:spacing w:line="240" w:lineRule="auto"/>
              <w:jc w:val="center"/>
              <w:rPr>
                <w:rFonts w:ascii="宋体" w:hAnsi="宋体" w:cs="宋体"/>
                <w:b/>
                <w:bCs/>
                <w:color w:val="000000"/>
                <w:kern w:val="0"/>
                <w:sz w:val="18"/>
                <w:szCs w:val="18"/>
              </w:rPr>
            </w:pPr>
          </w:p>
        </w:tc>
        <w:tc>
          <w:tcPr>
            <w:tcW w:w="1114" w:type="dxa"/>
            <w:shd w:val="clear" w:color="auto" w:fill="auto"/>
            <w:noWrap/>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561800</w:t>
            </w:r>
          </w:p>
        </w:tc>
        <w:tc>
          <w:tcPr>
            <w:tcW w:w="922" w:type="dxa"/>
            <w:shd w:val="clear" w:color="auto" w:fill="auto"/>
            <w:noWrap/>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35000</w:t>
            </w:r>
          </w:p>
        </w:tc>
        <w:tc>
          <w:tcPr>
            <w:tcW w:w="884" w:type="dxa"/>
            <w:shd w:val="clear" w:color="auto" w:fill="auto"/>
            <w:noWrap/>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　</w:t>
            </w:r>
          </w:p>
        </w:tc>
        <w:tc>
          <w:tcPr>
            <w:tcW w:w="642" w:type="dxa"/>
            <w:shd w:val="clear" w:color="auto" w:fill="auto"/>
            <w:noWrap/>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　</w:t>
            </w:r>
          </w:p>
        </w:tc>
        <w:tc>
          <w:tcPr>
            <w:tcW w:w="843" w:type="dxa"/>
            <w:shd w:val="clear" w:color="auto" w:fill="auto"/>
            <w:noWrap/>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　</w:t>
            </w:r>
          </w:p>
        </w:tc>
        <w:tc>
          <w:tcPr>
            <w:tcW w:w="844" w:type="dxa"/>
            <w:shd w:val="clear" w:color="auto" w:fill="auto"/>
            <w:noWrap/>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618" w:type="dxa"/>
            <w:gridSpan w:val="3"/>
            <w:shd w:val="clear" w:color="auto" w:fill="auto"/>
            <w:noWrap/>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十三五跨十四五项目</w:t>
            </w:r>
          </w:p>
        </w:tc>
        <w:tc>
          <w:tcPr>
            <w:tcW w:w="906" w:type="dxa"/>
            <w:shd w:val="clear" w:color="auto" w:fill="auto"/>
            <w:noWrap/>
            <w:vAlign w:val="center"/>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28</w:t>
            </w:r>
          </w:p>
        </w:tc>
        <w:tc>
          <w:tcPr>
            <w:tcW w:w="952" w:type="dxa"/>
            <w:shd w:val="clear" w:color="auto" w:fill="auto"/>
            <w:noWrap/>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　</w:t>
            </w:r>
          </w:p>
        </w:tc>
        <w:tc>
          <w:tcPr>
            <w:tcW w:w="822" w:type="dxa"/>
            <w:shd w:val="clear" w:color="auto" w:fill="auto"/>
            <w:noWrap/>
            <w:vAlign w:val="center"/>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28</w:t>
            </w:r>
            <w:r>
              <w:rPr>
                <w:rFonts w:hint="eastAsia" w:ascii="宋体" w:hAnsi="宋体" w:cs="宋体"/>
                <w:b/>
                <w:bCs/>
                <w:color w:val="000000"/>
                <w:kern w:val="0"/>
                <w:sz w:val="18"/>
                <w:szCs w:val="18"/>
              </w:rPr>
              <w:t>　</w:t>
            </w:r>
          </w:p>
        </w:tc>
        <w:tc>
          <w:tcPr>
            <w:tcW w:w="698" w:type="dxa"/>
            <w:shd w:val="clear" w:color="auto" w:fill="auto"/>
            <w:noWrap/>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　</w:t>
            </w:r>
          </w:p>
        </w:tc>
        <w:tc>
          <w:tcPr>
            <w:tcW w:w="703" w:type="dxa"/>
            <w:shd w:val="clear" w:color="auto" w:fill="auto"/>
            <w:noWrap/>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　</w:t>
            </w:r>
          </w:p>
        </w:tc>
        <w:tc>
          <w:tcPr>
            <w:tcW w:w="1114" w:type="dxa"/>
            <w:shd w:val="clear" w:color="auto" w:fill="auto"/>
            <w:noWrap/>
            <w:vAlign w:val="center"/>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30000</w:t>
            </w:r>
          </w:p>
        </w:tc>
        <w:tc>
          <w:tcPr>
            <w:tcW w:w="922" w:type="dxa"/>
            <w:shd w:val="clear" w:color="auto" w:fill="auto"/>
            <w:noWrap/>
            <w:vAlign w:val="center"/>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4000</w:t>
            </w:r>
            <w:r>
              <w:rPr>
                <w:rFonts w:hint="eastAsia" w:ascii="宋体" w:hAnsi="宋体" w:cs="宋体"/>
                <w:b/>
                <w:bCs/>
                <w:color w:val="000000"/>
                <w:kern w:val="0"/>
                <w:sz w:val="18"/>
                <w:szCs w:val="18"/>
              </w:rPr>
              <w:t>　</w:t>
            </w:r>
          </w:p>
        </w:tc>
        <w:tc>
          <w:tcPr>
            <w:tcW w:w="884" w:type="dxa"/>
            <w:shd w:val="clear" w:color="auto" w:fill="auto"/>
            <w:noWrap/>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　</w:t>
            </w:r>
          </w:p>
        </w:tc>
        <w:tc>
          <w:tcPr>
            <w:tcW w:w="642" w:type="dxa"/>
            <w:shd w:val="clear" w:color="auto" w:fill="auto"/>
            <w:noWrap/>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　</w:t>
            </w:r>
          </w:p>
        </w:tc>
        <w:tc>
          <w:tcPr>
            <w:tcW w:w="843" w:type="dxa"/>
            <w:shd w:val="clear" w:color="auto" w:fill="auto"/>
            <w:noWrap/>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　</w:t>
            </w:r>
          </w:p>
        </w:tc>
        <w:tc>
          <w:tcPr>
            <w:tcW w:w="844" w:type="dxa"/>
            <w:shd w:val="clear" w:color="auto" w:fill="auto"/>
            <w:noWrap/>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5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水城区</w:t>
            </w:r>
          </w:p>
        </w:tc>
        <w:tc>
          <w:tcPr>
            <w:tcW w:w="3205"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S216水城野钟至河洋大桥公路</w:t>
            </w:r>
          </w:p>
        </w:tc>
        <w:tc>
          <w:tcPr>
            <w:tcW w:w="906"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续建</w:t>
            </w:r>
          </w:p>
        </w:tc>
        <w:tc>
          <w:tcPr>
            <w:tcW w:w="95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22"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28</w:t>
            </w:r>
          </w:p>
        </w:tc>
        <w:tc>
          <w:tcPr>
            <w:tcW w:w="698"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2017</w:t>
            </w:r>
          </w:p>
        </w:tc>
        <w:tc>
          <w:tcPr>
            <w:tcW w:w="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2021</w:t>
            </w:r>
          </w:p>
        </w:tc>
        <w:tc>
          <w:tcPr>
            <w:tcW w:w="111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30000</w:t>
            </w:r>
          </w:p>
        </w:tc>
        <w:tc>
          <w:tcPr>
            <w:tcW w:w="922"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4000</w:t>
            </w:r>
          </w:p>
        </w:tc>
        <w:tc>
          <w:tcPr>
            <w:tcW w:w="884"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42"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在建</w:t>
            </w:r>
          </w:p>
        </w:tc>
        <w:tc>
          <w:tcPr>
            <w:tcW w:w="843"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未开展</w:t>
            </w:r>
          </w:p>
        </w:tc>
        <w:tc>
          <w:tcPr>
            <w:tcW w:w="844"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未开展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618" w:type="dxa"/>
            <w:gridSpan w:val="3"/>
            <w:shd w:val="clear" w:color="auto" w:fill="auto"/>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十四五新开工项目</w:t>
            </w:r>
          </w:p>
        </w:tc>
        <w:tc>
          <w:tcPr>
            <w:tcW w:w="906" w:type="dxa"/>
            <w:shd w:val="clear" w:color="auto" w:fill="auto"/>
            <w:vAlign w:val="center"/>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25</w:t>
            </w:r>
            <w:r>
              <w:rPr>
                <w:rFonts w:hint="eastAsia" w:ascii="宋体" w:hAnsi="宋体" w:cs="宋体"/>
                <w:b/>
                <w:bCs/>
                <w:color w:val="000000"/>
                <w:kern w:val="0"/>
                <w:sz w:val="18"/>
                <w:szCs w:val="18"/>
              </w:rPr>
              <w:t>　</w:t>
            </w:r>
          </w:p>
        </w:tc>
        <w:tc>
          <w:tcPr>
            <w:tcW w:w="952" w:type="dxa"/>
            <w:shd w:val="clear" w:color="auto" w:fill="auto"/>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　</w:t>
            </w:r>
          </w:p>
        </w:tc>
        <w:tc>
          <w:tcPr>
            <w:tcW w:w="822" w:type="dxa"/>
            <w:shd w:val="clear" w:color="auto" w:fill="auto"/>
            <w:vAlign w:val="center"/>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25</w:t>
            </w:r>
          </w:p>
        </w:tc>
        <w:tc>
          <w:tcPr>
            <w:tcW w:w="698"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14" w:type="dxa"/>
            <w:shd w:val="clear" w:color="auto" w:fill="auto"/>
            <w:vAlign w:val="center"/>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31000</w:t>
            </w:r>
          </w:p>
        </w:tc>
        <w:tc>
          <w:tcPr>
            <w:tcW w:w="922" w:type="dxa"/>
            <w:shd w:val="clear" w:color="auto" w:fill="auto"/>
            <w:vAlign w:val="center"/>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31000</w:t>
            </w:r>
          </w:p>
        </w:tc>
        <w:tc>
          <w:tcPr>
            <w:tcW w:w="884"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42"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43"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44"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45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1</w:t>
            </w:r>
          </w:p>
        </w:tc>
        <w:tc>
          <w:tcPr>
            <w:tcW w:w="95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盘州市</w:t>
            </w:r>
          </w:p>
        </w:tc>
        <w:tc>
          <w:tcPr>
            <w:tcW w:w="3205"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S217盘州界牌至保基公路</w:t>
            </w:r>
          </w:p>
        </w:tc>
        <w:tc>
          <w:tcPr>
            <w:tcW w:w="906"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95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2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698"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2020</w:t>
            </w:r>
          </w:p>
        </w:tc>
        <w:tc>
          <w:tcPr>
            <w:tcW w:w="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2021</w:t>
            </w:r>
          </w:p>
        </w:tc>
        <w:tc>
          <w:tcPr>
            <w:tcW w:w="111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31000</w:t>
            </w:r>
          </w:p>
        </w:tc>
        <w:tc>
          <w:tcPr>
            <w:tcW w:w="922" w:type="dxa"/>
            <w:shd w:val="clear" w:color="auto" w:fill="auto"/>
            <w:vAlign w:val="center"/>
          </w:tcPr>
          <w:p>
            <w:pPr>
              <w:jc w:val="center"/>
              <w:rPr>
                <w:rFonts w:ascii="宋体" w:hAnsi="宋体" w:cs="宋体"/>
                <w:color w:val="000000"/>
                <w:kern w:val="0"/>
                <w:sz w:val="18"/>
                <w:szCs w:val="18"/>
              </w:rPr>
            </w:pPr>
            <w:r>
              <w:rPr>
                <w:rFonts w:ascii="宋体" w:hAnsi="宋体" w:cs="宋体"/>
                <w:color w:val="000000"/>
                <w:kern w:val="0"/>
                <w:sz w:val="18"/>
                <w:szCs w:val="18"/>
              </w:rPr>
              <w:t>31000</w:t>
            </w:r>
          </w:p>
        </w:tc>
        <w:tc>
          <w:tcPr>
            <w:tcW w:w="884"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843"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c>
          <w:tcPr>
            <w:tcW w:w="844"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618" w:type="dxa"/>
            <w:gridSpan w:val="3"/>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b/>
                <w:bCs/>
                <w:color w:val="000000"/>
                <w:kern w:val="0"/>
                <w:sz w:val="18"/>
                <w:szCs w:val="18"/>
              </w:rPr>
              <w:t>十四五储备项目</w:t>
            </w:r>
          </w:p>
        </w:tc>
        <w:tc>
          <w:tcPr>
            <w:tcW w:w="906" w:type="dxa"/>
            <w:shd w:val="clear" w:color="auto" w:fill="auto"/>
            <w:vAlign w:val="center"/>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182.16</w:t>
            </w:r>
          </w:p>
        </w:tc>
        <w:tc>
          <w:tcPr>
            <w:tcW w:w="952" w:type="dxa"/>
            <w:shd w:val="clear" w:color="auto" w:fill="auto"/>
            <w:vAlign w:val="center"/>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40</w:t>
            </w:r>
          </w:p>
        </w:tc>
        <w:tc>
          <w:tcPr>
            <w:tcW w:w="822" w:type="dxa"/>
            <w:shd w:val="clear" w:color="auto" w:fill="auto"/>
            <w:vAlign w:val="center"/>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142.16</w:t>
            </w:r>
          </w:p>
        </w:tc>
        <w:tc>
          <w:tcPr>
            <w:tcW w:w="698" w:type="dxa"/>
            <w:shd w:val="clear" w:color="auto" w:fill="auto"/>
            <w:vAlign w:val="center"/>
          </w:tcPr>
          <w:p>
            <w:pPr>
              <w:widowControl/>
              <w:spacing w:line="240" w:lineRule="auto"/>
              <w:jc w:val="center"/>
              <w:rPr>
                <w:rFonts w:ascii="宋体" w:hAnsi="宋体" w:cs="宋体"/>
                <w:b/>
                <w:bCs/>
                <w:color w:val="000000"/>
                <w:kern w:val="0"/>
                <w:sz w:val="18"/>
                <w:szCs w:val="18"/>
              </w:rPr>
            </w:pPr>
          </w:p>
        </w:tc>
        <w:tc>
          <w:tcPr>
            <w:tcW w:w="703" w:type="dxa"/>
            <w:shd w:val="clear" w:color="auto" w:fill="auto"/>
            <w:vAlign w:val="center"/>
          </w:tcPr>
          <w:p>
            <w:pPr>
              <w:widowControl/>
              <w:spacing w:line="240" w:lineRule="auto"/>
              <w:jc w:val="center"/>
              <w:rPr>
                <w:rFonts w:ascii="宋体" w:hAnsi="宋体" w:cs="宋体"/>
                <w:b/>
                <w:bCs/>
                <w:color w:val="000000"/>
                <w:kern w:val="0"/>
                <w:sz w:val="18"/>
                <w:szCs w:val="18"/>
              </w:rPr>
            </w:pPr>
          </w:p>
        </w:tc>
        <w:tc>
          <w:tcPr>
            <w:tcW w:w="1114" w:type="dxa"/>
            <w:shd w:val="clear" w:color="auto" w:fill="auto"/>
            <w:vAlign w:val="center"/>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500800</w:t>
            </w:r>
          </w:p>
        </w:tc>
        <w:tc>
          <w:tcPr>
            <w:tcW w:w="922" w:type="dxa"/>
            <w:shd w:val="clear" w:color="auto" w:fill="auto"/>
            <w:vAlign w:val="center"/>
          </w:tcPr>
          <w:p>
            <w:pPr>
              <w:jc w:val="center"/>
              <w:rPr>
                <w:rFonts w:ascii="宋体" w:hAnsi="宋体" w:cs="宋体"/>
                <w:b/>
                <w:bCs/>
                <w:color w:val="000000"/>
                <w:kern w:val="0"/>
                <w:sz w:val="18"/>
                <w:szCs w:val="18"/>
              </w:rPr>
            </w:pPr>
          </w:p>
        </w:tc>
        <w:tc>
          <w:tcPr>
            <w:tcW w:w="884" w:type="dxa"/>
            <w:shd w:val="clear" w:color="auto" w:fill="auto"/>
            <w:vAlign w:val="center"/>
          </w:tcPr>
          <w:p>
            <w:pPr>
              <w:widowControl/>
              <w:spacing w:line="240" w:lineRule="auto"/>
              <w:jc w:val="center"/>
              <w:rPr>
                <w:rFonts w:ascii="宋体" w:hAnsi="宋体" w:cs="宋体"/>
                <w:color w:val="000000"/>
                <w:kern w:val="0"/>
                <w:sz w:val="18"/>
                <w:szCs w:val="18"/>
              </w:rPr>
            </w:pPr>
          </w:p>
        </w:tc>
        <w:tc>
          <w:tcPr>
            <w:tcW w:w="642" w:type="dxa"/>
            <w:shd w:val="clear" w:color="auto" w:fill="auto"/>
            <w:vAlign w:val="center"/>
          </w:tcPr>
          <w:p>
            <w:pPr>
              <w:widowControl/>
              <w:spacing w:line="240" w:lineRule="auto"/>
              <w:jc w:val="center"/>
              <w:rPr>
                <w:rFonts w:ascii="宋体" w:hAnsi="宋体" w:cs="宋体"/>
                <w:color w:val="000000"/>
                <w:kern w:val="0"/>
                <w:sz w:val="18"/>
                <w:szCs w:val="18"/>
              </w:rPr>
            </w:pPr>
          </w:p>
        </w:tc>
        <w:tc>
          <w:tcPr>
            <w:tcW w:w="843" w:type="dxa"/>
            <w:shd w:val="clear" w:color="auto" w:fill="auto"/>
            <w:noWrap/>
            <w:vAlign w:val="center"/>
          </w:tcPr>
          <w:p>
            <w:pPr>
              <w:widowControl/>
              <w:spacing w:line="240" w:lineRule="auto"/>
              <w:jc w:val="center"/>
              <w:rPr>
                <w:rFonts w:ascii="宋体" w:hAnsi="宋体" w:cs="宋体"/>
                <w:color w:val="000000"/>
                <w:kern w:val="0"/>
                <w:sz w:val="18"/>
                <w:szCs w:val="18"/>
              </w:rPr>
            </w:pPr>
          </w:p>
        </w:tc>
        <w:tc>
          <w:tcPr>
            <w:tcW w:w="844" w:type="dxa"/>
            <w:shd w:val="clear" w:color="auto" w:fill="auto"/>
            <w:noWrap/>
            <w:vAlign w:val="center"/>
          </w:tcPr>
          <w:p>
            <w:pPr>
              <w:widowControl/>
              <w:spacing w:line="240" w:lineRule="auto"/>
              <w:jc w:val="center"/>
              <w:rPr>
                <w:rFonts w:ascii="宋体" w:hAnsi="宋体"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1</w:t>
            </w:r>
          </w:p>
        </w:tc>
        <w:tc>
          <w:tcPr>
            <w:tcW w:w="95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六枝特区</w:t>
            </w:r>
          </w:p>
        </w:tc>
        <w:tc>
          <w:tcPr>
            <w:tcW w:w="3205"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S313六枝羊场至店子公路</w:t>
            </w:r>
          </w:p>
        </w:tc>
        <w:tc>
          <w:tcPr>
            <w:tcW w:w="906"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95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2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698"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w:t>
            </w:r>
            <w:r>
              <w:rPr>
                <w:rFonts w:ascii="宋体" w:hAnsi="宋体" w:cs="宋体"/>
                <w:color w:val="000000"/>
                <w:kern w:val="0"/>
                <w:sz w:val="18"/>
                <w:szCs w:val="18"/>
              </w:rPr>
              <w:t>5</w:t>
            </w:r>
          </w:p>
        </w:tc>
        <w:tc>
          <w:tcPr>
            <w:tcW w:w="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w:t>
            </w:r>
            <w:r>
              <w:rPr>
                <w:rFonts w:ascii="宋体" w:hAnsi="宋体" w:cs="宋体"/>
                <w:color w:val="000000"/>
                <w:kern w:val="0"/>
                <w:sz w:val="18"/>
                <w:szCs w:val="18"/>
              </w:rPr>
              <w:t>6</w:t>
            </w:r>
          </w:p>
        </w:tc>
        <w:tc>
          <w:tcPr>
            <w:tcW w:w="111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8000</w:t>
            </w:r>
          </w:p>
        </w:tc>
        <w:tc>
          <w:tcPr>
            <w:tcW w:w="922" w:type="dxa"/>
            <w:shd w:val="clear" w:color="auto" w:fill="auto"/>
            <w:vAlign w:val="center"/>
          </w:tcPr>
          <w:p>
            <w:pPr>
              <w:jc w:val="center"/>
              <w:rPr>
                <w:rFonts w:ascii="宋体" w:hAnsi="宋体" w:cs="宋体"/>
                <w:color w:val="000000"/>
                <w:kern w:val="0"/>
                <w:sz w:val="18"/>
                <w:szCs w:val="18"/>
              </w:rPr>
            </w:pPr>
          </w:p>
        </w:tc>
        <w:tc>
          <w:tcPr>
            <w:tcW w:w="884"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843"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c>
          <w:tcPr>
            <w:tcW w:w="844"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2</w:t>
            </w:r>
          </w:p>
        </w:tc>
        <w:tc>
          <w:tcPr>
            <w:tcW w:w="95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六枝特区</w:t>
            </w:r>
          </w:p>
        </w:tc>
        <w:tc>
          <w:tcPr>
            <w:tcW w:w="3205"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S310六枝老卜底至两路口公路</w:t>
            </w:r>
          </w:p>
        </w:tc>
        <w:tc>
          <w:tcPr>
            <w:tcW w:w="906"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95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2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23</w:t>
            </w:r>
          </w:p>
        </w:tc>
        <w:tc>
          <w:tcPr>
            <w:tcW w:w="698"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w:t>
            </w:r>
            <w:r>
              <w:rPr>
                <w:rFonts w:ascii="宋体" w:hAnsi="宋体" w:cs="宋体"/>
                <w:color w:val="000000"/>
                <w:kern w:val="0"/>
                <w:sz w:val="18"/>
                <w:szCs w:val="18"/>
              </w:rPr>
              <w:t>5</w:t>
            </w:r>
          </w:p>
        </w:tc>
        <w:tc>
          <w:tcPr>
            <w:tcW w:w="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w:t>
            </w:r>
            <w:r>
              <w:rPr>
                <w:rFonts w:ascii="宋体" w:hAnsi="宋体" w:cs="宋体"/>
                <w:color w:val="000000"/>
                <w:kern w:val="0"/>
                <w:sz w:val="18"/>
                <w:szCs w:val="18"/>
              </w:rPr>
              <w:t>6</w:t>
            </w:r>
          </w:p>
        </w:tc>
        <w:tc>
          <w:tcPr>
            <w:tcW w:w="111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27000</w:t>
            </w:r>
          </w:p>
        </w:tc>
        <w:tc>
          <w:tcPr>
            <w:tcW w:w="922" w:type="dxa"/>
            <w:shd w:val="clear" w:color="auto" w:fill="auto"/>
            <w:vAlign w:val="center"/>
          </w:tcPr>
          <w:p>
            <w:pPr>
              <w:jc w:val="center"/>
              <w:rPr>
                <w:rFonts w:ascii="宋体" w:hAnsi="宋体" w:cs="宋体"/>
                <w:color w:val="000000"/>
                <w:kern w:val="0"/>
                <w:sz w:val="18"/>
                <w:szCs w:val="18"/>
              </w:rPr>
            </w:pPr>
          </w:p>
        </w:tc>
        <w:tc>
          <w:tcPr>
            <w:tcW w:w="884"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843"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c>
          <w:tcPr>
            <w:tcW w:w="844" w:type="dxa"/>
            <w:shd w:val="clear" w:color="auto" w:fill="auto"/>
            <w:noWrap/>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3</w:t>
            </w:r>
          </w:p>
        </w:tc>
        <w:tc>
          <w:tcPr>
            <w:tcW w:w="95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六枝特区</w:t>
            </w:r>
          </w:p>
        </w:tc>
        <w:tc>
          <w:tcPr>
            <w:tcW w:w="3205"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S214六枝岩脚至店子公路</w:t>
            </w:r>
          </w:p>
        </w:tc>
        <w:tc>
          <w:tcPr>
            <w:tcW w:w="906"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95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2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698"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w:t>
            </w:r>
            <w:r>
              <w:rPr>
                <w:rFonts w:ascii="宋体" w:hAnsi="宋体" w:cs="宋体"/>
                <w:color w:val="000000"/>
                <w:kern w:val="0"/>
                <w:sz w:val="18"/>
                <w:szCs w:val="18"/>
              </w:rPr>
              <w:t>6</w:t>
            </w:r>
          </w:p>
        </w:tc>
        <w:tc>
          <w:tcPr>
            <w:tcW w:w="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w:t>
            </w:r>
            <w:r>
              <w:rPr>
                <w:rFonts w:ascii="宋体" w:hAnsi="宋体" w:cs="宋体"/>
                <w:color w:val="000000"/>
                <w:kern w:val="0"/>
                <w:sz w:val="18"/>
                <w:szCs w:val="18"/>
              </w:rPr>
              <w:t>7</w:t>
            </w:r>
          </w:p>
        </w:tc>
        <w:tc>
          <w:tcPr>
            <w:tcW w:w="111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18000</w:t>
            </w:r>
          </w:p>
        </w:tc>
        <w:tc>
          <w:tcPr>
            <w:tcW w:w="922" w:type="dxa"/>
            <w:shd w:val="clear" w:color="auto" w:fill="auto"/>
            <w:vAlign w:val="center"/>
          </w:tcPr>
          <w:p>
            <w:pPr>
              <w:jc w:val="center"/>
              <w:rPr>
                <w:rFonts w:ascii="宋体" w:hAnsi="宋体" w:cs="宋体"/>
                <w:color w:val="000000"/>
                <w:kern w:val="0"/>
                <w:sz w:val="18"/>
                <w:szCs w:val="18"/>
              </w:rPr>
            </w:pPr>
          </w:p>
        </w:tc>
        <w:tc>
          <w:tcPr>
            <w:tcW w:w="884"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84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开展中</w:t>
            </w:r>
          </w:p>
        </w:tc>
        <w:tc>
          <w:tcPr>
            <w:tcW w:w="844"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4</w:t>
            </w:r>
          </w:p>
        </w:tc>
        <w:tc>
          <w:tcPr>
            <w:tcW w:w="95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盘州市</w:t>
            </w:r>
          </w:p>
        </w:tc>
        <w:tc>
          <w:tcPr>
            <w:tcW w:w="3205"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S218盘州柏果至红果公路</w:t>
            </w:r>
          </w:p>
        </w:tc>
        <w:tc>
          <w:tcPr>
            <w:tcW w:w="906"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95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82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98"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w:t>
            </w:r>
            <w:r>
              <w:rPr>
                <w:rFonts w:ascii="宋体" w:hAnsi="宋体" w:cs="宋体"/>
                <w:color w:val="000000"/>
                <w:kern w:val="0"/>
                <w:sz w:val="18"/>
                <w:szCs w:val="18"/>
              </w:rPr>
              <w:t>5</w:t>
            </w:r>
          </w:p>
        </w:tc>
        <w:tc>
          <w:tcPr>
            <w:tcW w:w="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2026</w:t>
            </w:r>
          </w:p>
        </w:tc>
        <w:tc>
          <w:tcPr>
            <w:tcW w:w="111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320000</w:t>
            </w:r>
          </w:p>
        </w:tc>
        <w:tc>
          <w:tcPr>
            <w:tcW w:w="922" w:type="dxa"/>
            <w:shd w:val="clear" w:color="auto" w:fill="auto"/>
            <w:vAlign w:val="center"/>
          </w:tcPr>
          <w:p>
            <w:pPr>
              <w:jc w:val="center"/>
              <w:rPr>
                <w:rFonts w:ascii="宋体" w:hAnsi="宋体" w:cs="宋体"/>
                <w:color w:val="000000"/>
                <w:kern w:val="0"/>
                <w:sz w:val="18"/>
                <w:szCs w:val="18"/>
              </w:rPr>
            </w:pPr>
          </w:p>
        </w:tc>
        <w:tc>
          <w:tcPr>
            <w:tcW w:w="884"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84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开展中</w:t>
            </w:r>
          </w:p>
        </w:tc>
        <w:tc>
          <w:tcPr>
            <w:tcW w:w="844"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5</w:t>
            </w:r>
          </w:p>
        </w:tc>
        <w:tc>
          <w:tcPr>
            <w:tcW w:w="95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盘州市</w:t>
            </w:r>
          </w:p>
        </w:tc>
        <w:tc>
          <w:tcPr>
            <w:tcW w:w="3205"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S317盘州南星至三岔口公路</w:t>
            </w:r>
          </w:p>
        </w:tc>
        <w:tc>
          <w:tcPr>
            <w:tcW w:w="906"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95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2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36</w:t>
            </w:r>
          </w:p>
        </w:tc>
        <w:tc>
          <w:tcPr>
            <w:tcW w:w="698"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w:t>
            </w:r>
            <w:r>
              <w:rPr>
                <w:rFonts w:ascii="宋体" w:hAnsi="宋体" w:cs="宋体"/>
                <w:color w:val="000000"/>
                <w:kern w:val="0"/>
                <w:sz w:val="18"/>
                <w:szCs w:val="18"/>
              </w:rPr>
              <w:t>5</w:t>
            </w:r>
          </w:p>
        </w:tc>
        <w:tc>
          <w:tcPr>
            <w:tcW w:w="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w:t>
            </w:r>
            <w:r>
              <w:rPr>
                <w:rFonts w:ascii="宋体" w:hAnsi="宋体" w:cs="宋体"/>
                <w:color w:val="000000"/>
                <w:kern w:val="0"/>
                <w:sz w:val="18"/>
                <w:szCs w:val="18"/>
              </w:rPr>
              <w:t>6</w:t>
            </w:r>
          </w:p>
        </w:tc>
        <w:tc>
          <w:tcPr>
            <w:tcW w:w="111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54000</w:t>
            </w:r>
          </w:p>
        </w:tc>
        <w:tc>
          <w:tcPr>
            <w:tcW w:w="922" w:type="dxa"/>
            <w:shd w:val="clear" w:color="auto" w:fill="auto"/>
            <w:vAlign w:val="center"/>
          </w:tcPr>
          <w:p>
            <w:pPr>
              <w:jc w:val="center"/>
              <w:rPr>
                <w:rFonts w:ascii="宋体" w:hAnsi="宋体" w:cs="宋体"/>
                <w:color w:val="000000"/>
                <w:kern w:val="0"/>
                <w:sz w:val="18"/>
                <w:szCs w:val="18"/>
              </w:rPr>
            </w:pPr>
          </w:p>
        </w:tc>
        <w:tc>
          <w:tcPr>
            <w:tcW w:w="884"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84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开展中</w:t>
            </w:r>
          </w:p>
        </w:tc>
        <w:tc>
          <w:tcPr>
            <w:tcW w:w="844"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6</w:t>
            </w:r>
          </w:p>
        </w:tc>
        <w:tc>
          <w:tcPr>
            <w:tcW w:w="95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钟山区</w:t>
            </w:r>
          </w:p>
        </w:tc>
        <w:tc>
          <w:tcPr>
            <w:tcW w:w="3205"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S310木果至犀牛公路</w:t>
            </w:r>
          </w:p>
        </w:tc>
        <w:tc>
          <w:tcPr>
            <w:tcW w:w="906"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952" w:type="dxa"/>
            <w:shd w:val="clear" w:color="auto" w:fill="auto"/>
            <w:vAlign w:val="center"/>
          </w:tcPr>
          <w:p>
            <w:pPr>
              <w:widowControl/>
              <w:spacing w:line="240" w:lineRule="auto"/>
              <w:jc w:val="center"/>
              <w:rPr>
                <w:rFonts w:ascii="宋体" w:hAnsi="宋体" w:cs="宋体"/>
                <w:color w:val="000000"/>
                <w:kern w:val="0"/>
                <w:sz w:val="18"/>
                <w:szCs w:val="18"/>
              </w:rPr>
            </w:pPr>
          </w:p>
        </w:tc>
        <w:tc>
          <w:tcPr>
            <w:tcW w:w="82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4</w:t>
            </w:r>
            <w:r>
              <w:rPr>
                <w:rFonts w:ascii="宋体" w:hAnsi="宋体" w:cs="宋体"/>
                <w:color w:val="000000"/>
                <w:kern w:val="0"/>
                <w:sz w:val="18"/>
                <w:szCs w:val="18"/>
              </w:rPr>
              <w:t>1</w:t>
            </w:r>
          </w:p>
        </w:tc>
        <w:tc>
          <w:tcPr>
            <w:tcW w:w="698"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w:t>
            </w:r>
            <w:r>
              <w:rPr>
                <w:rFonts w:ascii="宋体" w:hAnsi="宋体" w:cs="宋体"/>
                <w:color w:val="000000"/>
                <w:kern w:val="0"/>
                <w:sz w:val="18"/>
                <w:szCs w:val="18"/>
              </w:rPr>
              <w:t>025</w:t>
            </w:r>
          </w:p>
        </w:tc>
        <w:tc>
          <w:tcPr>
            <w:tcW w:w="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w:t>
            </w:r>
            <w:r>
              <w:rPr>
                <w:rFonts w:ascii="宋体" w:hAnsi="宋体" w:cs="宋体"/>
                <w:color w:val="000000"/>
                <w:kern w:val="0"/>
                <w:sz w:val="18"/>
                <w:szCs w:val="18"/>
              </w:rPr>
              <w:t>027</w:t>
            </w:r>
          </w:p>
        </w:tc>
        <w:tc>
          <w:tcPr>
            <w:tcW w:w="1114"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3</w:t>
            </w:r>
            <w:r>
              <w:rPr>
                <w:rFonts w:ascii="宋体" w:hAnsi="宋体" w:cs="宋体"/>
                <w:color w:val="000000"/>
                <w:kern w:val="0"/>
                <w:sz w:val="18"/>
                <w:szCs w:val="18"/>
              </w:rPr>
              <w:t>2800</w:t>
            </w:r>
          </w:p>
        </w:tc>
        <w:tc>
          <w:tcPr>
            <w:tcW w:w="922" w:type="dxa"/>
            <w:shd w:val="clear" w:color="auto" w:fill="auto"/>
            <w:vAlign w:val="center"/>
          </w:tcPr>
          <w:p>
            <w:pPr>
              <w:jc w:val="center"/>
              <w:rPr>
                <w:rFonts w:ascii="宋体" w:hAnsi="宋体" w:cs="宋体"/>
                <w:color w:val="000000"/>
                <w:kern w:val="0"/>
                <w:sz w:val="18"/>
                <w:szCs w:val="18"/>
              </w:rPr>
            </w:pPr>
          </w:p>
        </w:tc>
        <w:tc>
          <w:tcPr>
            <w:tcW w:w="884" w:type="dxa"/>
            <w:shd w:val="clear" w:color="auto" w:fill="auto"/>
            <w:vAlign w:val="center"/>
          </w:tcPr>
          <w:p>
            <w:pPr>
              <w:widowControl/>
              <w:spacing w:line="240" w:lineRule="auto"/>
              <w:jc w:val="center"/>
              <w:rPr>
                <w:rFonts w:ascii="宋体" w:hAnsi="宋体" w:cs="宋体"/>
                <w:color w:val="000000"/>
                <w:kern w:val="0"/>
                <w:sz w:val="18"/>
                <w:szCs w:val="18"/>
              </w:rPr>
            </w:pPr>
          </w:p>
        </w:tc>
        <w:tc>
          <w:tcPr>
            <w:tcW w:w="6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84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开展中</w:t>
            </w:r>
          </w:p>
        </w:tc>
        <w:tc>
          <w:tcPr>
            <w:tcW w:w="844" w:type="dxa"/>
            <w:shd w:val="clear" w:color="auto" w:fill="auto"/>
            <w:vAlign w:val="center"/>
          </w:tcPr>
          <w:p>
            <w:pPr>
              <w:widowControl/>
              <w:spacing w:line="240" w:lineRule="auto"/>
              <w:jc w:val="center"/>
              <w:rPr>
                <w:rFonts w:ascii="宋体" w:hAnsi="宋体"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7</w:t>
            </w:r>
          </w:p>
        </w:tc>
        <w:tc>
          <w:tcPr>
            <w:tcW w:w="95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水城区</w:t>
            </w:r>
          </w:p>
        </w:tc>
        <w:tc>
          <w:tcPr>
            <w:tcW w:w="3205"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S</w:t>
            </w:r>
            <w:r>
              <w:rPr>
                <w:rFonts w:ascii="宋体" w:hAnsi="宋体" w:cs="宋体"/>
                <w:color w:val="000000"/>
                <w:kern w:val="0"/>
                <w:sz w:val="18"/>
                <w:szCs w:val="18"/>
              </w:rPr>
              <w:t>218</w:t>
            </w:r>
            <w:r>
              <w:rPr>
                <w:rFonts w:hint="eastAsia" w:ascii="宋体" w:hAnsi="宋体" w:cs="宋体"/>
                <w:color w:val="000000"/>
                <w:kern w:val="0"/>
                <w:sz w:val="18"/>
                <w:szCs w:val="18"/>
              </w:rPr>
              <w:t>发耳至鸡场公路</w:t>
            </w:r>
          </w:p>
        </w:tc>
        <w:tc>
          <w:tcPr>
            <w:tcW w:w="906"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952" w:type="dxa"/>
            <w:shd w:val="clear" w:color="auto" w:fill="auto"/>
            <w:vAlign w:val="center"/>
          </w:tcPr>
          <w:p>
            <w:pPr>
              <w:widowControl/>
              <w:spacing w:line="240" w:lineRule="auto"/>
              <w:jc w:val="center"/>
              <w:rPr>
                <w:rFonts w:ascii="宋体" w:hAnsi="宋体" w:cs="宋体"/>
                <w:color w:val="000000"/>
                <w:kern w:val="0"/>
                <w:sz w:val="18"/>
                <w:szCs w:val="18"/>
              </w:rPr>
            </w:pPr>
          </w:p>
        </w:tc>
        <w:tc>
          <w:tcPr>
            <w:tcW w:w="82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w:t>
            </w:r>
            <w:r>
              <w:rPr>
                <w:rFonts w:ascii="宋体" w:hAnsi="宋体" w:cs="宋体"/>
                <w:color w:val="000000"/>
                <w:kern w:val="0"/>
                <w:sz w:val="18"/>
                <w:szCs w:val="18"/>
              </w:rPr>
              <w:t>4.16</w:t>
            </w:r>
          </w:p>
        </w:tc>
        <w:tc>
          <w:tcPr>
            <w:tcW w:w="698"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w:t>
            </w:r>
            <w:r>
              <w:rPr>
                <w:rFonts w:ascii="宋体" w:hAnsi="宋体" w:cs="宋体"/>
                <w:color w:val="000000"/>
                <w:kern w:val="0"/>
                <w:sz w:val="18"/>
                <w:szCs w:val="18"/>
              </w:rPr>
              <w:t>025</w:t>
            </w:r>
          </w:p>
        </w:tc>
        <w:tc>
          <w:tcPr>
            <w:tcW w:w="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w:t>
            </w:r>
            <w:r>
              <w:rPr>
                <w:rFonts w:ascii="宋体" w:hAnsi="宋体" w:cs="宋体"/>
                <w:color w:val="000000"/>
                <w:kern w:val="0"/>
                <w:sz w:val="18"/>
                <w:szCs w:val="18"/>
              </w:rPr>
              <w:t>028</w:t>
            </w:r>
          </w:p>
        </w:tc>
        <w:tc>
          <w:tcPr>
            <w:tcW w:w="1114"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4</w:t>
            </w:r>
            <w:r>
              <w:rPr>
                <w:rFonts w:ascii="宋体" w:hAnsi="宋体" w:cs="宋体"/>
                <w:color w:val="000000"/>
                <w:kern w:val="0"/>
                <w:sz w:val="18"/>
                <w:szCs w:val="18"/>
              </w:rPr>
              <w:t>1000</w:t>
            </w:r>
          </w:p>
        </w:tc>
        <w:tc>
          <w:tcPr>
            <w:tcW w:w="922" w:type="dxa"/>
            <w:shd w:val="clear" w:color="auto" w:fill="auto"/>
            <w:vAlign w:val="center"/>
          </w:tcPr>
          <w:p>
            <w:pPr>
              <w:jc w:val="center"/>
              <w:rPr>
                <w:rFonts w:ascii="宋体" w:hAnsi="宋体" w:cs="宋体"/>
                <w:color w:val="000000"/>
                <w:kern w:val="0"/>
                <w:sz w:val="18"/>
                <w:szCs w:val="18"/>
              </w:rPr>
            </w:pPr>
          </w:p>
        </w:tc>
        <w:tc>
          <w:tcPr>
            <w:tcW w:w="884" w:type="dxa"/>
            <w:shd w:val="clear" w:color="auto" w:fill="auto"/>
            <w:vAlign w:val="center"/>
          </w:tcPr>
          <w:p>
            <w:pPr>
              <w:widowControl/>
              <w:spacing w:line="240" w:lineRule="auto"/>
              <w:jc w:val="center"/>
              <w:rPr>
                <w:rFonts w:ascii="宋体" w:hAnsi="宋体" w:cs="宋体"/>
                <w:color w:val="000000"/>
                <w:kern w:val="0"/>
                <w:sz w:val="18"/>
                <w:szCs w:val="18"/>
              </w:rPr>
            </w:pPr>
          </w:p>
        </w:tc>
        <w:tc>
          <w:tcPr>
            <w:tcW w:w="6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新建</w:t>
            </w:r>
          </w:p>
        </w:tc>
        <w:tc>
          <w:tcPr>
            <w:tcW w:w="84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开展中</w:t>
            </w:r>
          </w:p>
        </w:tc>
        <w:tc>
          <w:tcPr>
            <w:tcW w:w="844" w:type="dxa"/>
            <w:shd w:val="clear" w:color="auto" w:fill="auto"/>
            <w:vAlign w:val="center"/>
          </w:tcPr>
          <w:p>
            <w:pPr>
              <w:widowControl/>
              <w:spacing w:line="240" w:lineRule="auto"/>
              <w:jc w:val="center"/>
              <w:rPr>
                <w:rFonts w:ascii="宋体" w:hAnsi="宋体"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三</w:t>
            </w:r>
          </w:p>
        </w:tc>
        <w:tc>
          <w:tcPr>
            <w:tcW w:w="4164" w:type="dxa"/>
            <w:gridSpan w:val="2"/>
            <w:shd w:val="clear" w:color="auto" w:fill="auto"/>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其他公路</w:t>
            </w:r>
          </w:p>
        </w:tc>
        <w:tc>
          <w:tcPr>
            <w:tcW w:w="906" w:type="dxa"/>
            <w:shd w:val="clear" w:color="auto" w:fill="auto"/>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22.4</w:t>
            </w:r>
          </w:p>
        </w:tc>
        <w:tc>
          <w:tcPr>
            <w:tcW w:w="952" w:type="dxa"/>
            <w:shd w:val="clear" w:color="auto" w:fill="auto"/>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10.0</w:t>
            </w:r>
          </w:p>
        </w:tc>
        <w:tc>
          <w:tcPr>
            <w:tcW w:w="822" w:type="dxa"/>
            <w:shd w:val="clear" w:color="auto" w:fill="auto"/>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12.4</w:t>
            </w:r>
          </w:p>
        </w:tc>
        <w:tc>
          <w:tcPr>
            <w:tcW w:w="698" w:type="dxa"/>
            <w:shd w:val="clear" w:color="auto" w:fill="auto"/>
          </w:tcPr>
          <w:p>
            <w:pPr>
              <w:widowControl/>
              <w:spacing w:line="240" w:lineRule="auto"/>
              <w:jc w:val="center"/>
              <w:rPr>
                <w:rFonts w:ascii="宋体" w:hAnsi="宋体" w:cs="宋体"/>
                <w:b/>
                <w:bCs/>
                <w:color w:val="000000"/>
                <w:kern w:val="0"/>
                <w:sz w:val="18"/>
                <w:szCs w:val="18"/>
              </w:rPr>
            </w:pPr>
          </w:p>
        </w:tc>
        <w:tc>
          <w:tcPr>
            <w:tcW w:w="703" w:type="dxa"/>
            <w:shd w:val="clear" w:color="auto" w:fill="auto"/>
          </w:tcPr>
          <w:p>
            <w:pPr>
              <w:widowControl/>
              <w:spacing w:line="240" w:lineRule="auto"/>
              <w:jc w:val="center"/>
              <w:rPr>
                <w:rFonts w:ascii="宋体" w:hAnsi="宋体" w:cs="宋体"/>
                <w:b/>
                <w:bCs/>
                <w:color w:val="000000"/>
                <w:kern w:val="0"/>
                <w:sz w:val="18"/>
                <w:szCs w:val="18"/>
              </w:rPr>
            </w:pPr>
          </w:p>
        </w:tc>
        <w:tc>
          <w:tcPr>
            <w:tcW w:w="1114" w:type="dxa"/>
            <w:shd w:val="clear" w:color="auto" w:fill="auto"/>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131000</w:t>
            </w:r>
          </w:p>
        </w:tc>
        <w:tc>
          <w:tcPr>
            <w:tcW w:w="922" w:type="dxa"/>
            <w:shd w:val="clear" w:color="auto" w:fill="auto"/>
          </w:tcPr>
          <w:p>
            <w:pPr>
              <w:widowControl/>
              <w:spacing w:line="240" w:lineRule="auto"/>
              <w:jc w:val="center"/>
              <w:rPr>
                <w:rFonts w:ascii="宋体" w:hAnsi="宋体" w:cs="宋体"/>
                <w:b/>
                <w:bCs/>
                <w:color w:val="000000"/>
                <w:kern w:val="0"/>
                <w:sz w:val="18"/>
                <w:szCs w:val="18"/>
              </w:rPr>
            </w:pPr>
            <w:r>
              <w:rPr>
                <w:rFonts w:ascii="宋体" w:hAnsi="宋体" w:cs="宋体"/>
                <w:b/>
                <w:bCs/>
                <w:color w:val="000000"/>
                <w:kern w:val="0"/>
                <w:sz w:val="18"/>
                <w:szCs w:val="18"/>
              </w:rPr>
              <w:t>88000</w:t>
            </w:r>
          </w:p>
        </w:tc>
        <w:tc>
          <w:tcPr>
            <w:tcW w:w="884" w:type="dxa"/>
            <w:shd w:val="clear" w:color="auto" w:fill="auto"/>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　</w:t>
            </w:r>
          </w:p>
        </w:tc>
        <w:tc>
          <w:tcPr>
            <w:tcW w:w="6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4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44"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1</w:t>
            </w:r>
          </w:p>
        </w:tc>
        <w:tc>
          <w:tcPr>
            <w:tcW w:w="959" w:type="dxa"/>
            <w:shd w:val="clear" w:color="auto" w:fill="auto"/>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水城区</w:t>
            </w:r>
          </w:p>
        </w:tc>
        <w:tc>
          <w:tcPr>
            <w:tcW w:w="3205" w:type="dxa"/>
            <w:shd w:val="clear" w:color="auto" w:fill="auto"/>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玉舍大田至老凹营公路</w:t>
            </w:r>
          </w:p>
        </w:tc>
        <w:tc>
          <w:tcPr>
            <w:tcW w:w="906" w:type="dxa"/>
            <w:shd w:val="clear" w:color="auto" w:fill="auto"/>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续建</w:t>
            </w:r>
          </w:p>
        </w:tc>
        <w:tc>
          <w:tcPr>
            <w:tcW w:w="952" w:type="dxa"/>
            <w:shd w:val="clear" w:color="auto" w:fill="auto"/>
          </w:tcPr>
          <w:p>
            <w:pPr>
              <w:widowControl/>
              <w:spacing w:line="240" w:lineRule="auto"/>
              <w:jc w:val="center"/>
              <w:rPr>
                <w:rFonts w:ascii="宋体" w:hAnsi="宋体" w:cs="宋体"/>
                <w:color w:val="000000"/>
                <w:kern w:val="0"/>
                <w:sz w:val="18"/>
                <w:szCs w:val="18"/>
              </w:rPr>
            </w:pPr>
          </w:p>
        </w:tc>
        <w:tc>
          <w:tcPr>
            <w:tcW w:w="822" w:type="dxa"/>
            <w:shd w:val="clear" w:color="auto" w:fill="auto"/>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xml:space="preserve">7.4 </w:t>
            </w:r>
          </w:p>
        </w:tc>
        <w:tc>
          <w:tcPr>
            <w:tcW w:w="698" w:type="dxa"/>
            <w:shd w:val="clear" w:color="auto" w:fill="auto"/>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2017</w:t>
            </w:r>
          </w:p>
        </w:tc>
        <w:tc>
          <w:tcPr>
            <w:tcW w:w="703" w:type="dxa"/>
            <w:shd w:val="clear" w:color="auto" w:fill="auto"/>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w:t>
            </w:r>
            <w:r>
              <w:rPr>
                <w:rFonts w:ascii="宋体" w:hAnsi="宋体" w:cs="宋体"/>
                <w:color w:val="000000"/>
                <w:kern w:val="0"/>
                <w:sz w:val="18"/>
                <w:szCs w:val="18"/>
              </w:rPr>
              <w:t>22</w:t>
            </w:r>
          </w:p>
        </w:tc>
        <w:tc>
          <w:tcPr>
            <w:tcW w:w="111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11000</w:t>
            </w:r>
          </w:p>
        </w:tc>
        <w:tc>
          <w:tcPr>
            <w:tcW w:w="922"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8000</w:t>
            </w:r>
          </w:p>
        </w:tc>
        <w:tc>
          <w:tcPr>
            <w:tcW w:w="884" w:type="dxa"/>
            <w:shd w:val="clear" w:color="auto" w:fill="auto"/>
          </w:tcPr>
          <w:p>
            <w:pPr>
              <w:widowControl/>
              <w:spacing w:line="240" w:lineRule="auto"/>
              <w:jc w:val="center"/>
              <w:rPr>
                <w:rFonts w:ascii="宋体" w:hAnsi="宋体" w:cs="宋体"/>
                <w:color w:val="000000"/>
                <w:kern w:val="0"/>
                <w:sz w:val="18"/>
                <w:szCs w:val="18"/>
              </w:rPr>
            </w:pPr>
          </w:p>
        </w:tc>
        <w:tc>
          <w:tcPr>
            <w:tcW w:w="642" w:type="dxa"/>
            <w:shd w:val="clear" w:color="auto" w:fill="auto"/>
          </w:tcPr>
          <w:p>
            <w:pPr>
              <w:widowControl/>
              <w:spacing w:line="240" w:lineRule="auto"/>
              <w:jc w:val="center"/>
              <w:rPr>
                <w:rFonts w:ascii="宋体" w:hAnsi="宋体" w:cs="宋体"/>
                <w:color w:val="000000"/>
                <w:kern w:val="0"/>
                <w:sz w:val="18"/>
                <w:szCs w:val="18"/>
              </w:rPr>
            </w:pPr>
          </w:p>
        </w:tc>
        <w:tc>
          <w:tcPr>
            <w:tcW w:w="843" w:type="dxa"/>
            <w:shd w:val="clear" w:color="auto" w:fill="auto"/>
          </w:tcPr>
          <w:p>
            <w:pPr>
              <w:widowControl/>
              <w:spacing w:line="240" w:lineRule="auto"/>
              <w:jc w:val="center"/>
              <w:rPr>
                <w:rFonts w:ascii="宋体" w:hAnsi="宋体" w:cs="宋体"/>
                <w:color w:val="000000"/>
                <w:kern w:val="0"/>
                <w:sz w:val="18"/>
                <w:szCs w:val="18"/>
              </w:rPr>
            </w:pPr>
          </w:p>
        </w:tc>
        <w:tc>
          <w:tcPr>
            <w:tcW w:w="844" w:type="dxa"/>
            <w:shd w:val="clear" w:color="auto" w:fill="auto"/>
          </w:tcPr>
          <w:p>
            <w:pPr>
              <w:widowControl/>
              <w:spacing w:line="240" w:lineRule="auto"/>
              <w:jc w:val="center"/>
              <w:rPr>
                <w:rFonts w:ascii="宋体" w:hAnsi="宋体"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2</w:t>
            </w:r>
          </w:p>
        </w:tc>
        <w:tc>
          <w:tcPr>
            <w:tcW w:w="959" w:type="dxa"/>
            <w:shd w:val="clear" w:color="auto" w:fill="auto"/>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水城区</w:t>
            </w:r>
          </w:p>
        </w:tc>
        <w:tc>
          <w:tcPr>
            <w:tcW w:w="3205" w:type="dxa"/>
            <w:shd w:val="clear" w:color="auto" w:fill="auto"/>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花戛乡政府至安盘高速互通公路</w:t>
            </w:r>
          </w:p>
        </w:tc>
        <w:tc>
          <w:tcPr>
            <w:tcW w:w="906" w:type="dxa"/>
            <w:shd w:val="clear" w:color="auto" w:fill="auto"/>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续建</w:t>
            </w:r>
          </w:p>
        </w:tc>
        <w:tc>
          <w:tcPr>
            <w:tcW w:w="952" w:type="dxa"/>
            <w:shd w:val="clear" w:color="auto" w:fill="auto"/>
          </w:tcPr>
          <w:p>
            <w:pPr>
              <w:widowControl/>
              <w:spacing w:line="240" w:lineRule="auto"/>
              <w:jc w:val="center"/>
              <w:rPr>
                <w:rFonts w:ascii="宋体" w:hAnsi="宋体" w:cs="宋体"/>
                <w:color w:val="000000"/>
                <w:kern w:val="0"/>
                <w:sz w:val="18"/>
                <w:szCs w:val="18"/>
              </w:rPr>
            </w:pPr>
          </w:p>
        </w:tc>
        <w:tc>
          <w:tcPr>
            <w:tcW w:w="82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698"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w:t>
            </w:r>
            <w:r>
              <w:rPr>
                <w:rFonts w:ascii="宋体" w:hAnsi="宋体" w:cs="宋体"/>
                <w:color w:val="000000"/>
                <w:kern w:val="0"/>
                <w:sz w:val="18"/>
                <w:szCs w:val="18"/>
              </w:rPr>
              <w:t>20</w:t>
            </w:r>
          </w:p>
        </w:tc>
        <w:tc>
          <w:tcPr>
            <w:tcW w:w="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w:t>
            </w:r>
            <w:r>
              <w:rPr>
                <w:rFonts w:ascii="宋体" w:hAnsi="宋体" w:cs="宋体"/>
                <w:color w:val="000000"/>
                <w:kern w:val="0"/>
                <w:sz w:val="18"/>
                <w:szCs w:val="18"/>
              </w:rPr>
              <w:t>22</w:t>
            </w:r>
          </w:p>
        </w:tc>
        <w:tc>
          <w:tcPr>
            <w:tcW w:w="111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40000</w:t>
            </w:r>
          </w:p>
        </w:tc>
        <w:tc>
          <w:tcPr>
            <w:tcW w:w="922" w:type="dxa"/>
            <w:shd w:val="clear" w:color="auto" w:fill="auto"/>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 xml:space="preserve">26667 </w:t>
            </w:r>
          </w:p>
        </w:tc>
        <w:tc>
          <w:tcPr>
            <w:tcW w:w="884" w:type="dxa"/>
            <w:shd w:val="clear" w:color="auto" w:fill="auto"/>
          </w:tcPr>
          <w:p>
            <w:pPr>
              <w:widowControl/>
              <w:spacing w:line="240" w:lineRule="auto"/>
              <w:jc w:val="center"/>
              <w:rPr>
                <w:rFonts w:ascii="宋体" w:hAnsi="宋体" w:cs="宋体"/>
                <w:color w:val="000000"/>
                <w:kern w:val="0"/>
                <w:sz w:val="18"/>
                <w:szCs w:val="18"/>
              </w:rPr>
            </w:pPr>
          </w:p>
        </w:tc>
        <w:tc>
          <w:tcPr>
            <w:tcW w:w="642" w:type="dxa"/>
            <w:shd w:val="clear" w:color="auto" w:fill="auto"/>
          </w:tcPr>
          <w:p>
            <w:pPr>
              <w:widowControl/>
              <w:spacing w:line="240" w:lineRule="auto"/>
              <w:jc w:val="center"/>
              <w:rPr>
                <w:rFonts w:ascii="宋体" w:hAnsi="宋体" w:cs="宋体"/>
                <w:color w:val="000000"/>
                <w:kern w:val="0"/>
                <w:sz w:val="18"/>
                <w:szCs w:val="18"/>
              </w:rPr>
            </w:pPr>
          </w:p>
        </w:tc>
        <w:tc>
          <w:tcPr>
            <w:tcW w:w="843" w:type="dxa"/>
            <w:shd w:val="clear" w:color="auto" w:fill="auto"/>
          </w:tcPr>
          <w:p>
            <w:pPr>
              <w:widowControl/>
              <w:spacing w:line="240" w:lineRule="auto"/>
              <w:jc w:val="center"/>
              <w:rPr>
                <w:rFonts w:ascii="宋体" w:hAnsi="宋体" w:cs="宋体"/>
                <w:color w:val="000000"/>
                <w:kern w:val="0"/>
                <w:sz w:val="18"/>
                <w:szCs w:val="18"/>
              </w:rPr>
            </w:pPr>
          </w:p>
        </w:tc>
        <w:tc>
          <w:tcPr>
            <w:tcW w:w="844" w:type="dxa"/>
            <w:shd w:val="clear" w:color="auto" w:fill="auto"/>
          </w:tcPr>
          <w:p>
            <w:pPr>
              <w:widowControl/>
              <w:spacing w:line="240" w:lineRule="auto"/>
              <w:jc w:val="center"/>
              <w:rPr>
                <w:rFonts w:ascii="宋体" w:hAnsi="宋体"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54" w:type="dxa"/>
            <w:shd w:val="clear" w:color="auto" w:fill="auto"/>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3</w:t>
            </w:r>
          </w:p>
        </w:tc>
        <w:tc>
          <w:tcPr>
            <w:tcW w:w="959" w:type="dxa"/>
            <w:shd w:val="clear" w:color="auto" w:fill="auto"/>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盘州市</w:t>
            </w:r>
          </w:p>
        </w:tc>
        <w:tc>
          <w:tcPr>
            <w:tcW w:w="3205" w:type="dxa"/>
            <w:shd w:val="clear" w:color="auto" w:fill="auto"/>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妥乐至石桥一级公路</w:t>
            </w:r>
          </w:p>
        </w:tc>
        <w:tc>
          <w:tcPr>
            <w:tcW w:w="906" w:type="dxa"/>
            <w:shd w:val="clear" w:color="auto" w:fill="auto"/>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续建</w:t>
            </w:r>
          </w:p>
        </w:tc>
        <w:tc>
          <w:tcPr>
            <w:tcW w:w="952" w:type="dxa"/>
            <w:shd w:val="clear" w:color="auto" w:fill="auto"/>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2" w:type="dxa"/>
            <w:shd w:val="clear" w:color="auto" w:fill="auto"/>
          </w:tcPr>
          <w:p>
            <w:pPr>
              <w:widowControl/>
              <w:spacing w:line="240" w:lineRule="auto"/>
              <w:jc w:val="center"/>
              <w:rPr>
                <w:rFonts w:ascii="宋体" w:hAnsi="宋体" w:cs="宋体"/>
                <w:color w:val="000000"/>
                <w:kern w:val="0"/>
                <w:sz w:val="18"/>
                <w:szCs w:val="18"/>
              </w:rPr>
            </w:pPr>
          </w:p>
        </w:tc>
        <w:tc>
          <w:tcPr>
            <w:tcW w:w="698" w:type="dxa"/>
            <w:shd w:val="clear" w:color="auto" w:fill="auto"/>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w:t>
            </w:r>
            <w:r>
              <w:rPr>
                <w:rFonts w:ascii="宋体" w:hAnsi="宋体" w:cs="宋体"/>
                <w:color w:val="000000"/>
                <w:kern w:val="0"/>
                <w:sz w:val="18"/>
                <w:szCs w:val="18"/>
              </w:rPr>
              <w:t>20</w:t>
            </w:r>
          </w:p>
        </w:tc>
        <w:tc>
          <w:tcPr>
            <w:tcW w:w="703" w:type="dxa"/>
            <w:shd w:val="clear" w:color="auto" w:fill="auto"/>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w:t>
            </w:r>
            <w:r>
              <w:rPr>
                <w:rFonts w:ascii="宋体" w:hAnsi="宋体" w:cs="宋体"/>
                <w:color w:val="000000"/>
                <w:kern w:val="0"/>
                <w:sz w:val="18"/>
                <w:szCs w:val="18"/>
              </w:rPr>
              <w:t>22</w:t>
            </w:r>
          </w:p>
        </w:tc>
        <w:tc>
          <w:tcPr>
            <w:tcW w:w="1114"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80000</w:t>
            </w:r>
          </w:p>
        </w:tc>
        <w:tc>
          <w:tcPr>
            <w:tcW w:w="922" w:type="dxa"/>
            <w:shd w:val="clear" w:color="auto" w:fill="auto"/>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 xml:space="preserve">53333 </w:t>
            </w:r>
          </w:p>
        </w:tc>
        <w:tc>
          <w:tcPr>
            <w:tcW w:w="884" w:type="dxa"/>
            <w:shd w:val="clear" w:color="auto" w:fill="auto"/>
          </w:tcPr>
          <w:p>
            <w:pPr>
              <w:widowControl/>
              <w:spacing w:line="240" w:lineRule="auto"/>
              <w:jc w:val="center"/>
              <w:rPr>
                <w:rFonts w:ascii="宋体" w:hAnsi="宋体" w:cs="宋体"/>
                <w:color w:val="000000"/>
                <w:kern w:val="0"/>
                <w:sz w:val="18"/>
                <w:szCs w:val="18"/>
              </w:rPr>
            </w:pPr>
          </w:p>
        </w:tc>
        <w:tc>
          <w:tcPr>
            <w:tcW w:w="642" w:type="dxa"/>
            <w:shd w:val="clear" w:color="auto" w:fill="auto"/>
          </w:tcPr>
          <w:p>
            <w:pPr>
              <w:widowControl/>
              <w:spacing w:line="240" w:lineRule="auto"/>
              <w:jc w:val="center"/>
              <w:rPr>
                <w:rFonts w:ascii="宋体" w:hAnsi="宋体" w:cs="宋体"/>
                <w:color w:val="000000"/>
                <w:kern w:val="0"/>
                <w:sz w:val="18"/>
                <w:szCs w:val="18"/>
              </w:rPr>
            </w:pPr>
          </w:p>
        </w:tc>
        <w:tc>
          <w:tcPr>
            <w:tcW w:w="843" w:type="dxa"/>
            <w:shd w:val="clear" w:color="auto" w:fill="auto"/>
          </w:tcPr>
          <w:p>
            <w:pPr>
              <w:widowControl/>
              <w:spacing w:line="240" w:lineRule="auto"/>
              <w:jc w:val="center"/>
              <w:rPr>
                <w:rFonts w:ascii="宋体" w:hAnsi="宋体" w:cs="宋体"/>
                <w:color w:val="000000"/>
                <w:kern w:val="0"/>
                <w:sz w:val="18"/>
                <w:szCs w:val="18"/>
              </w:rPr>
            </w:pPr>
          </w:p>
        </w:tc>
        <w:tc>
          <w:tcPr>
            <w:tcW w:w="844" w:type="dxa"/>
            <w:shd w:val="clear" w:color="auto" w:fill="auto"/>
          </w:tcPr>
          <w:p>
            <w:pPr>
              <w:widowControl/>
              <w:spacing w:line="240" w:lineRule="auto"/>
              <w:jc w:val="center"/>
              <w:rPr>
                <w:rFonts w:ascii="宋体" w:hAnsi="宋体" w:cs="宋体"/>
                <w:color w:val="000000"/>
                <w:kern w:val="0"/>
                <w:sz w:val="18"/>
                <w:szCs w:val="18"/>
              </w:rPr>
            </w:pPr>
          </w:p>
        </w:tc>
      </w:tr>
    </w:tbl>
    <w:p>
      <w:pPr>
        <w:sectPr>
          <w:headerReference r:id="rId12" w:type="default"/>
          <w:pgSz w:w="16838" w:h="11906" w:orient="landscape"/>
          <w:pgMar w:top="1800" w:right="1440" w:bottom="1800" w:left="1440" w:header="851" w:footer="992" w:gutter="0"/>
          <w:cols w:space="425" w:num="1"/>
          <w:docGrid w:type="lines" w:linePitch="381" w:charSpace="0"/>
        </w:sectPr>
      </w:pPr>
    </w:p>
    <w:bookmarkEnd w:id="1004"/>
    <w:p>
      <w:pPr>
        <w:keepNext/>
        <w:keepLines/>
        <w:spacing w:after="100" w:afterAutospacing="1"/>
        <w:outlineLvl w:val="0"/>
        <w:rPr>
          <w:rFonts w:cs="宋体" w:asciiTheme="majorEastAsia" w:hAnsiTheme="majorEastAsia" w:eastAsiaTheme="majorEastAsia"/>
          <w:b/>
          <w:bCs/>
          <w:kern w:val="44"/>
          <w:sz w:val="32"/>
          <w:szCs w:val="44"/>
        </w:rPr>
      </w:pPr>
      <w:bookmarkStart w:id="1005" w:name="_Toc89102216"/>
      <w:r>
        <w:rPr>
          <w:rFonts w:hint="eastAsia" w:cs="宋体" w:asciiTheme="majorEastAsia" w:hAnsiTheme="majorEastAsia" w:eastAsiaTheme="majorEastAsia"/>
          <w:b/>
          <w:bCs/>
          <w:kern w:val="44"/>
          <w:sz w:val="32"/>
          <w:szCs w:val="44"/>
        </w:rPr>
        <w:t>附表</w:t>
      </w:r>
      <w:r>
        <w:rPr>
          <w:rFonts w:asciiTheme="majorEastAsia" w:hAnsiTheme="majorEastAsia" w:eastAsiaTheme="majorEastAsia"/>
          <w:b/>
          <w:bCs/>
          <w:kern w:val="44"/>
          <w:sz w:val="32"/>
          <w:szCs w:val="44"/>
        </w:rPr>
        <w:t xml:space="preserve">3  </w:t>
      </w:r>
      <w:r>
        <w:rPr>
          <w:rFonts w:hint="eastAsia" w:cs="宋体" w:asciiTheme="majorEastAsia" w:hAnsiTheme="majorEastAsia" w:eastAsiaTheme="majorEastAsia"/>
          <w:b/>
          <w:bCs/>
          <w:kern w:val="44"/>
          <w:sz w:val="32"/>
          <w:szCs w:val="44"/>
        </w:rPr>
        <w:t>六盘水市</w:t>
      </w:r>
      <w:r>
        <w:rPr>
          <w:rFonts w:asciiTheme="majorEastAsia" w:hAnsiTheme="majorEastAsia" w:eastAsiaTheme="majorEastAsia"/>
          <w:b/>
          <w:bCs/>
          <w:kern w:val="44"/>
          <w:sz w:val="32"/>
          <w:szCs w:val="44"/>
        </w:rPr>
        <w:t>“</w:t>
      </w:r>
      <w:r>
        <w:rPr>
          <w:rFonts w:hint="eastAsia" w:cs="宋体" w:asciiTheme="majorEastAsia" w:hAnsiTheme="majorEastAsia" w:eastAsiaTheme="majorEastAsia"/>
          <w:b/>
          <w:bCs/>
          <w:kern w:val="44"/>
          <w:sz w:val="32"/>
          <w:szCs w:val="44"/>
        </w:rPr>
        <w:t>十四五</w:t>
      </w:r>
      <w:r>
        <w:rPr>
          <w:rFonts w:asciiTheme="majorEastAsia" w:hAnsiTheme="majorEastAsia" w:eastAsiaTheme="majorEastAsia"/>
          <w:b/>
          <w:bCs/>
          <w:kern w:val="44"/>
          <w:sz w:val="32"/>
          <w:szCs w:val="44"/>
        </w:rPr>
        <w:t>”</w:t>
      </w:r>
      <w:r>
        <w:rPr>
          <w:rFonts w:hint="eastAsia" w:cs="宋体" w:asciiTheme="majorEastAsia" w:hAnsiTheme="majorEastAsia" w:eastAsiaTheme="majorEastAsia"/>
          <w:b/>
          <w:bCs/>
          <w:kern w:val="44"/>
          <w:sz w:val="32"/>
          <w:szCs w:val="44"/>
        </w:rPr>
        <w:t>乡镇通二级以上公路建设项目</w:t>
      </w:r>
      <w:bookmarkEnd w:id="1005"/>
    </w:p>
    <w:tbl>
      <w:tblPr>
        <w:tblStyle w:val="19"/>
        <w:tblW w:w="13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3"/>
        <w:gridCol w:w="1042"/>
        <w:gridCol w:w="990"/>
        <w:gridCol w:w="1703"/>
        <w:gridCol w:w="850"/>
        <w:gridCol w:w="709"/>
        <w:gridCol w:w="709"/>
        <w:gridCol w:w="850"/>
        <w:gridCol w:w="851"/>
        <w:gridCol w:w="850"/>
        <w:gridCol w:w="709"/>
        <w:gridCol w:w="851"/>
        <w:gridCol w:w="850"/>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3" w:type="dxa"/>
            <w:vMerge w:val="restart"/>
            <w:shd w:val="clear" w:color="auto" w:fill="auto"/>
            <w:vAlign w:val="center"/>
          </w:tcPr>
          <w:p>
            <w:pPr>
              <w:widowControl/>
              <w:spacing w:line="240" w:lineRule="auto"/>
              <w:jc w:val="center"/>
              <w:rPr>
                <w:rFonts w:ascii="宋体" w:hAnsi="宋体" w:cs="宋体"/>
                <w:b/>
                <w:bCs/>
                <w:kern w:val="0"/>
                <w:sz w:val="18"/>
                <w:szCs w:val="18"/>
              </w:rPr>
            </w:pPr>
            <w:r>
              <w:rPr>
                <w:rFonts w:hint="eastAsia" w:ascii="宋体" w:hAnsi="宋体" w:cs="宋体"/>
                <w:b/>
                <w:bCs/>
                <w:kern w:val="0"/>
                <w:sz w:val="18"/>
                <w:szCs w:val="18"/>
              </w:rPr>
              <w:t>序号</w:t>
            </w:r>
          </w:p>
        </w:tc>
        <w:tc>
          <w:tcPr>
            <w:tcW w:w="1042" w:type="dxa"/>
            <w:vMerge w:val="restart"/>
            <w:shd w:val="clear" w:color="auto" w:fill="auto"/>
            <w:vAlign w:val="center"/>
          </w:tcPr>
          <w:p>
            <w:pPr>
              <w:widowControl/>
              <w:spacing w:line="240" w:lineRule="auto"/>
              <w:jc w:val="center"/>
              <w:rPr>
                <w:rFonts w:ascii="宋体" w:hAnsi="宋体" w:cs="宋体"/>
                <w:b/>
                <w:bCs/>
                <w:kern w:val="0"/>
                <w:sz w:val="18"/>
                <w:szCs w:val="18"/>
              </w:rPr>
            </w:pPr>
            <w:r>
              <w:rPr>
                <w:rFonts w:hint="eastAsia" w:ascii="宋体" w:hAnsi="宋体" w:cs="宋体"/>
                <w:b/>
                <w:bCs/>
                <w:kern w:val="0"/>
                <w:sz w:val="18"/>
                <w:szCs w:val="18"/>
              </w:rPr>
              <w:t>项目所在地</w:t>
            </w:r>
          </w:p>
        </w:tc>
        <w:tc>
          <w:tcPr>
            <w:tcW w:w="990" w:type="dxa"/>
            <w:vMerge w:val="restart"/>
            <w:shd w:val="clear" w:color="auto" w:fill="auto"/>
            <w:vAlign w:val="center"/>
          </w:tcPr>
          <w:p>
            <w:pPr>
              <w:widowControl/>
              <w:spacing w:line="240" w:lineRule="auto"/>
              <w:jc w:val="center"/>
              <w:rPr>
                <w:rFonts w:ascii="宋体" w:hAnsi="宋体" w:cs="宋体"/>
                <w:b/>
                <w:bCs/>
                <w:kern w:val="0"/>
                <w:sz w:val="18"/>
                <w:szCs w:val="18"/>
              </w:rPr>
            </w:pPr>
            <w:r>
              <w:rPr>
                <w:rFonts w:hint="eastAsia" w:ascii="宋体" w:hAnsi="宋体" w:cs="宋体"/>
                <w:b/>
                <w:bCs/>
                <w:kern w:val="0"/>
                <w:sz w:val="18"/>
                <w:szCs w:val="18"/>
              </w:rPr>
              <w:t>乡（镇）名称</w:t>
            </w:r>
          </w:p>
        </w:tc>
        <w:tc>
          <w:tcPr>
            <w:tcW w:w="1703" w:type="dxa"/>
            <w:vMerge w:val="restart"/>
            <w:shd w:val="clear" w:color="auto" w:fill="auto"/>
            <w:vAlign w:val="center"/>
          </w:tcPr>
          <w:p>
            <w:pPr>
              <w:widowControl/>
              <w:spacing w:line="240" w:lineRule="auto"/>
              <w:jc w:val="center"/>
              <w:rPr>
                <w:rFonts w:ascii="宋体" w:hAnsi="宋体" w:cs="宋体"/>
                <w:b/>
                <w:bCs/>
                <w:kern w:val="0"/>
                <w:sz w:val="18"/>
                <w:szCs w:val="18"/>
              </w:rPr>
            </w:pPr>
            <w:r>
              <w:rPr>
                <w:rFonts w:hint="eastAsia" w:ascii="宋体" w:hAnsi="宋体" w:cs="宋体"/>
                <w:b/>
                <w:bCs/>
                <w:kern w:val="0"/>
                <w:sz w:val="18"/>
                <w:szCs w:val="18"/>
              </w:rPr>
              <w:t>项目名称</w:t>
            </w:r>
          </w:p>
        </w:tc>
        <w:tc>
          <w:tcPr>
            <w:tcW w:w="850" w:type="dxa"/>
            <w:vMerge w:val="restart"/>
            <w:shd w:val="clear" w:color="auto" w:fill="auto"/>
            <w:vAlign w:val="center"/>
          </w:tcPr>
          <w:p>
            <w:pPr>
              <w:widowControl/>
              <w:spacing w:line="240" w:lineRule="auto"/>
              <w:jc w:val="center"/>
              <w:rPr>
                <w:rFonts w:ascii="宋体" w:hAnsi="宋体" w:cs="宋体"/>
                <w:b/>
                <w:bCs/>
                <w:kern w:val="0"/>
                <w:sz w:val="18"/>
                <w:szCs w:val="18"/>
              </w:rPr>
            </w:pPr>
            <w:r>
              <w:rPr>
                <w:rFonts w:hint="eastAsia" w:ascii="宋体" w:hAnsi="宋体" w:cs="宋体"/>
                <w:b/>
                <w:bCs/>
                <w:kern w:val="0"/>
                <w:sz w:val="18"/>
                <w:szCs w:val="18"/>
              </w:rPr>
              <w:t>拟建技术等级</w:t>
            </w:r>
          </w:p>
        </w:tc>
        <w:tc>
          <w:tcPr>
            <w:tcW w:w="709" w:type="dxa"/>
            <w:vMerge w:val="restart"/>
            <w:shd w:val="clear" w:color="auto" w:fill="auto"/>
            <w:vAlign w:val="center"/>
          </w:tcPr>
          <w:p>
            <w:pPr>
              <w:widowControl/>
              <w:spacing w:line="240" w:lineRule="auto"/>
              <w:jc w:val="center"/>
              <w:rPr>
                <w:rFonts w:ascii="宋体" w:hAnsi="宋体" w:cs="宋体"/>
                <w:b/>
                <w:bCs/>
                <w:kern w:val="0"/>
                <w:sz w:val="18"/>
                <w:szCs w:val="18"/>
              </w:rPr>
            </w:pPr>
            <w:r>
              <w:rPr>
                <w:rFonts w:hint="eastAsia" w:ascii="宋体" w:hAnsi="宋体" w:cs="宋体"/>
                <w:b/>
                <w:bCs/>
                <w:kern w:val="0"/>
                <w:sz w:val="18"/>
                <w:szCs w:val="18"/>
              </w:rPr>
              <w:t>路基宽度</w:t>
            </w:r>
          </w:p>
        </w:tc>
        <w:tc>
          <w:tcPr>
            <w:tcW w:w="709" w:type="dxa"/>
            <w:vMerge w:val="restart"/>
            <w:shd w:val="clear" w:color="auto" w:fill="auto"/>
            <w:vAlign w:val="center"/>
          </w:tcPr>
          <w:p>
            <w:pPr>
              <w:widowControl/>
              <w:spacing w:line="240" w:lineRule="auto"/>
              <w:jc w:val="center"/>
              <w:rPr>
                <w:rFonts w:ascii="宋体" w:hAnsi="宋体" w:cs="宋体"/>
                <w:b/>
                <w:bCs/>
                <w:kern w:val="0"/>
                <w:sz w:val="18"/>
                <w:szCs w:val="18"/>
              </w:rPr>
            </w:pPr>
            <w:r>
              <w:rPr>
                <w:rFonts w:hint="eastAsia" w:ascii="宋体" w:hAnsi="宋体" w:cs="宋体"/>
                <w:b/>
                <w:bCs/>
                <w:kern w:val="0"/>
                <w:sz w:val="18"/>
                <w:szCs w:val="18"/>
              </w:rPr>
              <w:t>建设里程</w:t>
            </w:r>
          </w:p>
        </w:tc>
        <w:tc>
          <w:tcPr>
            <w:tcW w:w="850" w:type="dxa"/>
            <w:vMerge w:val="restart"/>
            <w:shd w:val="clear" w:color="auto" w:fill="auto"/>
            <w:vAlign w:val="center"/>
          </w:tcPr>
          <w:p>
            <w:pPr>
              <w:widowControl/>
              <w:spacing w:line="240" w:lineRule="auto"/>
              <w:jc w:val="center"/>
              <w:rPr>
                <w:rFonts w:ascii="宋体" w:hAnsi="宋体" w:cs="宋体"/>
                <w:b/>
                <w:bCs/>
                <w:kern w:val="0"/>
                <w:sz w:val="18"/>
                <w:szCs w:val="18"/>
              </w:rPr>
            </w:pPr>
            <w:r>
              <w:rPr>
                <w:rFonts w:hint="eastAsia" w:ascii="宋体" w:hAnsi="宋体" w:cs="宋体"/>
                <w:b/>
                <w:bCs/>
                <w:kern w:val="0"/>
                <w:sz w:val="18"/>
                <w:szCs w:val="18"/>
              </w:rPr>
              <w:t>总投资</w:t>
            </w:r>
          </w:p>
          <w:p>
            <w:pPr>
              <w:widowControl/>
              <w:spacing w:line="240" w:lineRule="auto"/>
              <w:jc w:val="center"/>
              <w:rPr>
                <w:rFonts w:ascii="宋体" w:hAnsi="宋体" w:cs="宋体"/>
                <w:b/>
                <w:bCs/>
                <w:kern w:val="0"/>
                <w:sz w:val="18"/>
                <w:szCs w:val="18"/>
              </w:rPr>
            </w:pPr>
            <w:r>
              <w:rPr>
                <w:rFonts w:hint="eastAsia" w:ascii="宋体" w:hAnsi="宋体" w:cs="宋体"/>
                <w:b/>
                <w:bCs/>
                <w:kern w:val="0"/>
                <w:sz w:val="18"/>
                <w:szCs w:val="18"/>
              </w:rPr>
              <w:t>（万元）</w:t>
            </w:r>
          </w:p>
        </w:tc>
        <w:tc>
          <w:tcPr>
            <w:tcW w:w="1701" w:type="dxa"/>
            <w:gridSpan w:val="2"/>
            <w:vAlign w:val="center"/>
          </w:tcPr>
          <w:p>
            <w:pPr>
              <w:widowControl/>
              <w:spacing w:line="240" w:lineRule="auto"/>
              <w:jc w:val="center"/>
              <w:rPr>
                <w:rFonts w:ascii="宋体" w:hAnsi="宋体" w:cs="宋体"/>
                <w:b/>
                <w:bCs/>
                <w:kern w:val="0"/>
                <w:sz w:val="18"/>
                <w:szCs w:val="18"/>
              </w:rPr>
            </w:pPr>
            <w:r>
              <w:rPr>
                <w:rFonts w:hint="eastAsia"/>
                <w:b/>
                <w:bCs/>
                <w:sz w:val="18"/>
                <w:szCs w:val="18"/>
              </w:rPr>
              <w:t>“十四五”计划投资（万元）</w:t>
            </w:r>
          </w:p>
        </w:tc>
        <w:tc>
          <w:tcPr>
            <w:tcW w:w="709" w:type="dxa"/>
            <w:vMerge w:val="restart"/>
            <w:shd w:val="clear" w:color="auto" w:fill="auto"/>
            <w:vAlign w:val="center"/>
          </w:tcPr>
          <w:p>
            <w:pPr>
              <w:widowControl/>
              <w:spacing w:line="240" w:lineRule="auto"/>
              <w:jc w:val="center"/>
              <w:rPr>
                <w:rFonts w:ascii="宋体" w:hAnsi="宋体" w:cs="宋体"/>
                <w:b/>
                <w:bCs/>
                <w:kern w:val="0"/>
                <w:sz w:val="18"/>
                <w:szCs w:val="18"/>
              </w:rPr>
            </w:pPr>
            <w:r>
              <w:rPr>
                <w:rFonts w:hint="eastAsia" w:ascii="宋体" w:hAnsi="宋体" w:cs="宋体"/>
                <w:b/>
                <w:bCs/>
                <w:kern w:val="0"/>
                <w:sz w:val="18"/>
                <w:szCs w:val="18"/>
              </w:rPr>
              <w:t>项目状态</w:t>
            </w:r>
          </w:p>
        </w:tc>
        <w:tc>
          <w:tcPr>
            <w:tcW w:w="1701" w:type="dxa"/>
            <w:gridSpan w:val="2"/>
            <w:shd w:val="clear" w:color="auto" w:fill="auto"/>
            <w:vAlign w:val="center"/>
          </w:tcPr>
          <w:p>
            <w:pPr>
              <w:widowControl/>
              <w:spacing w:line="240" w:lineRule="auto"/>
              <w:jc w:val="center"/>
              <w:rPr>
                <w:rFonts w:ascii="宋体" w:hAnsi="宋体" w:cs="宋体"/>
                <w:b/>
                <w:bCs/>
                <w:kern w:val="0"/>
                <w:sz w:val="18"/>
                <w:szCs w:val="18"/>
              </w:rPr>
            </w:pPr>
            <w:r>
              <w:rPr>
                <w:rFonts w:hint="eastAsia" w:ascii="宋体" w:hAnsi="宋体" w:cs="宋体"/>
                <w:b/>
                <w:bCs/>
                <w:kern w:val="0"/>
                <w:sz w:val="18"/>
                <w:szCs w:val="18"/>
              </w:rPr>
              <w:t>建设年限</w:t>
            </w:r>
          </w:p>
        </w:tc>
        <w:tc>
          <w:tcPr>
            <w:tcW w:w="1701" w:type="dxa"/>
            <w:gridSpan w:val="2"/>
            <w:shd w:val="clear" w:color="auto" w:fill="auto"/>
            <w:vAlign w:val="center"/>
          </w:tcPr>
          <w:p>
            <w:pPr>
              <w:widowControl/>
              <w:spacing w:line="240" w:lineRule="auto"/>
              <w:jc w:val="center"/>
              <w:rPr>
                <w:rFonts w:ascii="宋体" w:hAnsi="宋体" w:cs="宋体"/>
                <w:b/>
                <w:bCs/>
                <w:kern w:val="0"/>
                <w:sz w:val="18"/>
                <w:szCs w:val="18"/>
              </w:rPr>
            </w:pPr>
            <w:r>
              <w:rPr>
                <w:rFonts w:hint="eastAsia" w:ascii="宋体" w:hAnsi="宋体" w:cs="宋体"/>
                <w:b/>
                <w:bCs/>
                <w:kern w:val="0"/>
                <w:sz w:val="18"/>
                <w:szCs w:val="18"/>
              </w:rPr>
              <w:t>前期工作开展情况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3" w:type="dxa"/>
            <w:vMerge w:val="continue"/>
            <w:vAlign w:val="center"/>
          </w:tcPr>
          <w:p>
            <w:pPr>
              <w:widowControl/>
              <w:spacing w:line="240" w:lineRule="auto"/>
              <w:jc w:val="center"/>
              <w:rPr>
                <w:rFonts w:ascii="宋体" w:hAnsi="宋体" w:cs="宋体"/>
                <w:b/>
                <w:bCs/>
                <w:kern w:val="0"/>
                <w:sz w:val="18"/>
                <w:szCs w:val="18"/>
              </w:rPr>
            </w:pPr>
          </w:p>
        </w:tc>
        <w:tc>
          <w:tcPr>
            <w:tcW w:w="1042" w:type="dxa"/>
            <w:vMerge w:val="continue"/>
            <w:vAlign w:val="center"/>
          </w:tcPr>
          <w:p>
            <w:pPr>
              <w:widowControl/>
              <w:spacing w:line="240" w:lineRule="auto"/>
              <w:jc w:val="center"/>
              <w:rPr>
                <w:rFonts w:ascii="宋体" w:hAnsi="宋体" w:cs="宋体"/>
                <w:b/>
                <w:bCs/>
                <w:kern w:val="0"/>
                <w:sz w:val="18"/>
                <w:szCs w:val="18"/>
              </w:rPr>
            </w:pPr>
          </w:p>
        </w:tc>
        <w:tc>
          <w:tcPr>
            <w:tcW w:w="990" w:type="dxa"/>
            <w:vMerge w:val="continue"/>
            <w:vAlign w:val="center"/>
          </w:tcPr>
          <w:p>
            <w:pPr>
              <w:widowControl/>
              <w:spacing w:line="240" w:lineRule="auto"/>
              <w:jc w:val="center"/>
              <w:rPr>
                <w:rFonts w:ascii="宋体" w:hAnsi="宋体" w:cs="宋体"/>
                <w:b/>
                <w:bCs/>
                <w:kern w:val="0"/>
                <w:sz w:val="18"/>
                <w:szCs w:val="18"/>
              </w:rPr>
            </w:pPr>
          </w:p>
        </w:tc>
        <w:tc>
          <w:tcPr>
            <w:tcW w:w="1703" w:type="dxa"/>
            <w:vMerge w:val="continue"/>
            <w:vAlign w:val="center"/>
          </w:tcPr>
          <w:p>
            <w:pPr>
              <w:widowControl/>
              <w:spacing w:line="240" w:lineRule="auto"/>
              <w:jc w:val="center"/>
              <w:rPr>
                <w:rFonts w:ascii="宋体" w:hAnsi="宋体" w:cs="宋体"/>
                <w:b/>
                <w:bCs/>
                <w:kern w:val="0"/>
                <w:sz w:val="18"/>
                <w:szCs w:val="18"/>
              </w:rPr>
            </w:pPr>
          </w:p>
        </w:tc>
        <w:tc>
          <w:tcPr>
            <w:tcW w:w="850" w:type="dxa"/>
            <w:vMerge w:val="continue"/>
            <w:vAlign w:val="center"/>
          </w:tcPr>
          <w:p>
            <w:pPr>
              <w:widowControl/>
              <w:spacing w:line="240" w:lineRule="auto"/>
              <w:jc w:val="center"/>
              <w:rPr>
                <w:rFonts w:ascii="宋体" w:hAnsi="宋体" w:cs="宋体"/>
                <w:b/>
                <w:bCs/>
                <w:kern w:val="0"/>
                <w:sz w:val="18"/>
                <w:szCs w:val="18"/>
              </w:rPr>
            </w:pPr>
          </w:p>
        </w:tc>
        <w:tc>
          <w:tcPr>
            <w:tcW w:w="709" w:type="dxa"/>
            <w:vMerge w:val="continue"/>
            <w:vAlign w:val="center"/>
          </w:tcPr>
          <w:p>
            <w:pPr>
              <w:widowControl/>
              <w:spacing w:line="240" w:lineRule="auto"/>
              <w:jc w:val="center"/>
              <w:rPr>
                <w:rFonts w:ascii="宋体" w:hAnsi="宋体" w:cs="宋体"/>
                <w:b/>
                <w:bCs/>
                <w:kern w:val="0"/>
                <w:sz w:val="18"/>
                <w:szCs w:val="18"/>
              </w:rPr>
            </w:pPr>
          </w:p>
        </w:tc>
        <w:tc>
          <w:tcPr>
            <w:tcW w:w="709" w:type="dxa"/>
            <w:vMerge w:val="continue"/>
            <w:vAlign w:val="center"/>
          </w:tcPr>
          <w:p>
            <w:pPr>
              <w:widowControl/>
              <w:spacing w:line="240" w:lineRule="auto"/>
              <w:jc w:val="center"/>
              <w:rPr>
                <w:rFonts w:ascii="宋体" w:hAnsi="宋体" w:cs="宋体"/>
                <w:b/>
                <w:bCs/>
                <w:kern w:val="0"/>
                <w:sz w:val="18"/>
                <w:szCs w:val="18"/>
              </w:rPr>
            </w:pPr>
          </w:p>
        </w:tc>
        <w:tc>
          <w:tcPr>
            <w:tcW w:w="850" w:type="dxa"/>
            <w:vMerge w:val="continue"/>
            <w:vAlign w:val="center"/>
          </w:tcPr>
          <w:p>
            <w:pPr>
              <w:widowControl/>
              <w:spacing w:line="240" w:lineRule="auto"/>
              <w:jc w:val="center"/>
              <w:rPr>
                <w:rFonts w:ascii="宋体" w:hAnsi="宋体" w:cs="宋体"/>
                <w:b/>
                <w:bCs/>
                <w:kern w:val="0"/>
                <w:sz w:val="18"/>
                <w:szCs w:val="18"/>
              </w:rPr>
            </w:pPr>
          </w:p>
        </w:tc>
        <w:tc>
          <w:tcPr>
            <w:tcW w:w="851" w:type="dxa"/>
            <w:vAlign w:val="center"/>
          </w:tcPr>
          <w:p>
            <w:pPr>
              <w:widowControl/>
              <w:spacing w:line="240" w:lineRule="auto"/>
              <w:jc w:val="center"/>
              <w:rPr>
                <w:rFonts w:ascii="宋体" w:hAnsi="宋体" w:cs="宋体"/>
                <w:b/>
                <w:bCs/>
                <w:kern w:val="0"/>
                <w:sz w:val="18"/>
                <w:szCs w:val="18"/>
              </w:rPr>
            </w:pPr>
            <w:r>
              <w:rPr>
                <w:rFonts w:hint="eastAsia" w:ascii="宋体" w:hAnsi="宋体" w:cs="宋体"/>
                <w:b/>
                <w:bCs/>
                <w:kern w:val="0"/>
                <w:sz w:val="18"/>
                <w:szCs w:val="18"/>
              </w:rPr>
              <w:t>总投资</w:t>
            </w:r>
          </w:p>
        </w:tc>
        <w:tc>
          <w:tcPr>
            <w:tcW w:w="850" w:type="dxa"/>
            <w:vAlign w:val="center"/>
          </w:tcPr>
          <w:p>
            <w:pPr>
              <w:widowControl/>
              <w:spacing w:line="240" w:lineRule="auto"/>
              <w:jc w:val="center"/>
              <w:rPr>
                <w:rFonts w:ascii="宋体" w:hAnsi="宋体" w:cs="宋体"/>
                <w:b/>
                <w:bCs/>
                <w:kern w:val="0"/>
                <w:sz w:val="18"/>
                <w:szCs w:val="18"/>
              </w:rPr>
            </w:pPr>
            <w:r>
              <w:rPr>
                <w:rFonts w:hint="eastAsia" w:ascii="宋体" w:hAnsi="宋体" w:cs="宋体"/>
                <w:b/>
                <w:bCs/>
                <w:kern w:val="0"/>
                <w:sz w:val="18"/>
                <w:szCs w:val="18"/>
              </w:rPr>
              <w:t>补助</w:t>
            </w:r>
          </w:p>
        </w:tc>
        <w:tc>
          <w:tcPr>
            <w:tcW w:w="709" w:type="dxa"/>
            <w:vMerge w:val="continue"/>
            <w:vAlign w:val="center"/>
          </w:tcPr>
          <w:p>
            <w:pPr>
              <w:widowControl/>
              <w:spacing w:line="240" w:lineRule="auto"/>
              <w:jc w:val="center"/>
              <w:rPr>
                <w:rFonts w:ascii="宋体" w:hAnsi="宋体" w:cs="宋体"/>
                <w:b/>
                <w:bCs/>
                <w:kern w:val="0"/>
                <w:sz w:val="18"/>
                <w:szCs w:val="18"/>
              </w:rPr>
            </w:pPr>
          </w:p>
        </w:tc>
        <w:tc>
          <w:tcPr>
            <w:tcW w:w="851" w:type="dxa"/>
            <w:shd w:val="clear" w:color="auto" w:fill="auto"/>
            <w:vAlign w:val="center"/>
          </w:tcPr>
          <w:p>
            <w:pPr>
              <w:widowControl/>
              <w:spacing w:line="240" w:lineRule="auto"/>
              <w:jc w:val="center"/>
              <w:rPr>
                <w:rFonts w:ascii="宋体" w:hAnsi="宋体" w:cs="宋体"/>
                <w:b/>
                <w:bCs/>
                <w:kern w:val="0"/>
                <w:sz w:val="18"/>
                <w:szCs w:val="18"/>
              </w:rPr>
            </w:pPr>
            <w:r>
              <w:rPr>
                <w:rFonts w:hint="eastAsia" w:ascii="宋体" w:hAnsi="宋体" w:cs="宋体"/>
                <w:b/>
                <w:bCs/>
                <w:kern w:val="0"/>
                <w:sz w:val="18"/>
                <w:szCs w:val="18"/>
              </w:rPr>
              <w:t>开工年</w:t>
            </w:r>
          </w:p>
        </w:tc>
        <w:tc>
          <w:tcPr>
            <w:tcW w:w="850" w:type="dxa"/>
            <w:shd w:val="clear" w:color="auto" w:fill="auto"/>
            <w:vAlign w:val="center"/>
          </w:tcPr>
          <w:p>
            <w:pPr>
              <w:widowControl/>
              <w:spacing w:line="240" w:lineRule="auto"/>
              <w:jc w:val="center"/>
              <w:rPr>
                <w:rFonts w:ascii="宋体" w:hAnsi="宋体" w:cs="宋体"/>
                <w:b/>
                <w:bCs/>
                <w:kern w:val="0"/>
                <w:sz w:val="18"/>
                <w:szCs w:val="18"/>
              </w:rPr>
            </w:pPr>
            <w:r>
              <w:rPr>
                <w:rFonts w:hint="eastAsia" w:ascii="宋体" w:hAnsi="宋体" w:cs="宋体"/>
                <w:b/>
                <w:bCs/>
                <w:kern w:val="0"/>
                <w:sz w:val="18"/>
                <w:szCs w:val="18"/>
              </w:rPr>
              <w:t>完工年</w:t>
            </w:r>
          </w:p>
        </w:tc>
        <w:tc>
          <w:tcPr>
            <w:tcW w:w="851" w:type="dxa"/>
            <w:shd w:val="clear" w:color="auto" w:fill="auto"/>
            <w:vAlign w:val="center"/>
          </w:tcPr>
          <w:p>
            <w:pPr>
              <w:widowControl/>
              <w:spacing w:line="240" w:lineRule="auto"/>
              <w:jc w:val="center"/>
              <w:rPr>
                <w:rFonts w:ascii="宋体" w:hAnsi="宋体" w:cs="宋体"/>
                <w:b/>
                <w:bCs/>
                <w:kern w:val="0"/>
                <w:sz w:val="18"/>
                <w:szCs w:val="18"/>
              </w:rPr>
            </w:pPr>
            <w:r>
              <w:rPr>
                <w:rFonts w:hint="eastAsia" w:ascii="宋体" w:hAnsi="宋体" w:cs="宋体"/>
                <w:b/>
                <w:bCs/>
                <w:kern w:val="0"/>
                <w:sz w:val="18"/>
                <w:szCs w:val="18"/>
              </w:rPr>
              <w:t>工可</w:t>
            </w:r>
          </w:p>
        </w:tc>
        <w:tc>
          <w:tcPr>
            <w:tcW w:w="850" w:type="dxa"/>
            <w:shd w:val="clear" w:color="auto" w:fill="auto"/>
            <w:vAlign w:val="center"/>
          </w:tcPr>
          <w:p>
            <w:pPr>
              <w:widowControl/>
              <w:spacing w:line="240" w:lineRule="auto"/>
              <w:jc w:val="center"/>
              <w:rPr>
                <w:rFonts w:ascii="宋体" w:hAnsi="宋体" w:cs="宋体"/>
                <w:b/>
                <w:bCs/>
                <w:kern w:val="0"/>
                <w:sz w:val="18"/>
                <w:szCs w:val="18"/>
              </w:rPr>
            </w:pPr>
            <w:r>
              <w:rPr>
                <w:rFonts w:hint="eastAsia" w:ascii="宋体" w:hAnsi="宋体" w:cs="宋体"/>
                <w:b/>
                <w:bCs/>
                <w:kern w:val="0"/>
                <w:sz w:val="18"/>
                <w:szCs w:val="18"/>
              </w:rPr>
              <w:t>初设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3" w:type="dxa"/>
            <w:shd w:val="clear" w:color="auto" w:fill="auto"/>
            <w:vAlign w:val="center"/>
          </w:tcPr>
          <w:p>
            <w:pPr>
              <w:widowControl/>
              <w:spacing w:line="240" w:lineRule="auto"/>
              <w:jc w:val="center"/>
              <w:rPr>
                <w:rFonts w:ascii="宋体" w:hAnsi="宋体" w:cs="宋体"/>
                <w:kern w:val="0"/>
                <w:sz w:val="18"/>
                <w:szCs w:val="18"/>
              </w:rPr>
            </w:pPr>
          </w:p>
        </w:tc>
        <w:tc>
          <w:tcPr>
            <w:tcW w:w="1042" w:type="dxa"/>
            <w:shd w:val="clear" w:color="auto" w:fill="auto"/>
            <w:vAlign w:val="center"/>
          </w:tcPr>
          <w:p>
            <w:pPr>
              <w:widowControl/>
              <w:spacing w:line="240" w:lineRule="auto"/>
              <w:jc w:val="center"/>
              <w:rPr>
                <w:rFonts w:ascii="宋体" w:hAnsi="宋体" w:cs="宋体"/>
                <w:kern w:val="0"/>
                <w:sz w:val="18"/>
                <w:szCs w:val="18"/>
              </w:rPr>
            </w:pPr>
          </w:p>
        </w:tc>
        <w:tc>
          <w:tcPr>
            <w:tcW w:w="990" w:type="dxa"/>
            <w:shd w:val="clear" w:color="auto" w:fill="auto"/>
            <w:vAlign w:val="center"/>
          </w:tcPr>
          <w:p>
            <w:pPr>
              <w:widowControl/>
              <w:spacing w:line="240" w:lineRule="auto"/>
              <w:jc w:val="center"/>
              <w:rPr>
                <w:rFonts w:ascii="宋体" w:hAnsi="宋体" w:cs="宋体"/>
                <w:b/>
                <w:bCs/>
                <w:kern w:val="0"/>
                <w:sz w:val="18"/>
                <w:szCs w:val="18"/>
              </w:rPr>
            </w:pPr>
            <w:r>
              <w:rPr>
                <w:rFonts w:ascii="宋体" w:hAnsi="宋体" w:cs="宋体"/>
                <w:b/>
                <w:bCs/>
                <w:kern w:val="0"/>
                <w:sz w:val="18"/>
                <w:szCs w:val="18"/>
              </w:rPr>
              <w:t>25</w:t>
            </w:r>
          </w:p>
        </w:tc>
        <w:tc>
          <w:tcPr>
            <w:tcW w:w="1703" w:type="dxa"/>
            <w:shd w:val="clear" w:color="auto" w:fill="auto"/>
            <w:vAlign w:val="center"/>
          </w:tcPr>
          <w:p>
            <w:pPr>
              <w:widowControl/>
              <w:spacing w:line="240" w:lineRule="auto"/>
              <w:jc w:val="center"/>
              <w:rPr>
                <w:rFonts w:ascii="宋体" w:hAnsi="宋体" w:cs="宋体"/>
                <w:b/>
                <w:bCs/>
                <w:kern w:val="0"/>
                <w:sz w:val="18"/>
                <w:szCs w:val="18"/>
              </w:rPr>
            </w:pPr>
            <w:r>
              <w:rPr>
                <w:rFonts w:ascii="宋体" w:hAnsi="宋体" w:cs="宋体"/>
                <w:b/>
                <w:bCs/>
                <w:kern w:val="0"/>
                <w:sz w:val="18"/>
                <w:szCs w:val="18"/>
              </w:rPr>
              <w:t>25</w:t>
            </w:r>
          </w:p>
        </w:tc>
        <w:tc>
          <w:tcPr>
            <w:tcW w:w="850" w:type="dxa"/>
            <w:shd w:val="clear" w:color="auto" w:fill="auto"/>
            <w:vAlign w:val="center"/>
          </w:tcPr>
          <w:p>
            <w:pPr>
              <w:widowControl/>
              <w:spacing w:line="240" w:lineRule="auto"/>
              <w:jc w:val="center"/>
              <w:rPr>
                <w:rFonts w:ascii="宋体" w:hAnsi="宋体" w:cs="宋体"/>
                <w:b/>
                <w:bCs/>
                <w:color w:val="000000"/>
                <w:kern w:val="0"/>
                <w:sz w:val="18"/>
                <w:szCs w:val="18"/>
              </w:rPr>
            </w:pPr>
          </w:p>
        </w:tc>
        <w:tc>
          <w:tcPr>
            <w:tcW w:w="709" w:type="dxa"/>
            <w:shd w:val="clear" w:color="auto" w:fill="auto"/>
            <w:vAlign w:val="center"/>
          </w:tcPr>
          <w:p>
            <w:pPr>
              <w:widowControl/>
              <w:spacing w:line="240" w:lineRule="auto"/>
              <w:jc w:val="center"/>
              <w:rPr>
                <w:rFonts w:ascii="宋体" w:hAnsi="宋体" w:cs="宋体"/>
                <w:b/>
                <w:bCs/>
                <w:kern w:val="0"/>
                <w:sz w:val="18"/>
                <w:szCs w:val="18"/>
              </w:rPr>
            </w:pPr>
          </w:p>
        </w:tc>
        <w:tc>
          <w:tcPr>
            <w:tcW w:w="709" w:type="dxa"/>
            <w:shd w:val="clear" w:color="auto" w:fill="auto"/>
          </w:tcPr>
          <w:p>
            <w:pPr>
              <w:widowControl/>
              <w:spacing w:line="240" w:lineRule="auto"/>
              <w:jc w:val="center"/>
              <w:rPr>
                <w:rFonts w:ascii="宋体" w:hAnsi="宋体" w:cs="宋体"/>
                <w:b/>
                <w:bCs/>
                <w:kern w:val="0"/>
                <w:sz w:val="18"/>
                <w:szCs w:val="18"/>
              </w:rPr>
            </w:pPr>
            <w:r>
              <w:rPr>
                <w:rFonts w:ascii="宋体" w:hAnsi="宋体" w:cs="宋体"/>
                <w:b/>
                <w:bCs/>
                <w:kern w:val="0"/>
                <w:sz w:val="18"/>
                <w:szCs w:val="18"/>
              </w:rPr>
              <w:t>336</w:t>
            </w:r>
          </w:p>
        </w:tc>
        <w:tc>
          <w:tcPr>
            <w:tcW w:w="850" w:type="dxa"/>
            <w:shd w:val="clear" w:color="auto" w:fill="auto"/>
          </w:tcPr>
          <w:p>
            <w:pPr>
              <w:widowControl/>
              <w:spacing w:line="240" w:lineRule="auto"/>
              <w:jc w:val="center"/>
              <w:rPr>
                <w:rFonts w:ascii="宋体" w:hAnsi="宋体" w:cs="宋体"/>
                <w:b/>
                <w:bCs/>
                <w:kern w:val="0"/>
                <w:sz w:val="18"/>
                <w:szCs w:val="18"/>
              </w:rPr>
            </w:pPr>
            <w:r>
              <w:rPr>
                <w:rFonts w:ascii="宋体" w:hAnsi="宋体" w:cs="宋体"/>
                <w:b/>
                <w:bCs/>
                <w:kern w:val="0"/>
                <w:sz w:val="18"/>
                <w:szCs w:val="18"/>
              </w:rPr>
              <w:t>543775</w:t>
            </w:r>
          </w:p>
        </w:tc>
        <w:tc>
          <w:tcPr>
            <w:tcW w:w="851" w:type="dxa"/>
          </w:tcPr>
          <w:p>
            <w:pPr>
              <w:widowControl/>
              <w:spacing w:line="240" w:lineRule="auto"/>
              <w:jc w:val="center"/>
              <w:rPr>
                <w:rFonts w:ascii="宋体" w:hAnsi="宋体" w:cs="宋体"/>
                <w:b/>
                <w:bCs/>
                <w:kern w:val="0"/>
                <w:sz w:val="18"/>
                <w:szCs w:val="18"/>
              </w:rPr>
            </w:pPr>
            <w:r>
              <w:rPr>
                <w:rFonts w:ascii="宋体" w:hAnsi="宋体" w:cs="宋体"/>
                <w:b/>
                <w:bCs/>
                <w:kern w:val="0"/>
                <w:sz w:val="18"/>
                <w:szCs w:val="18"/>
              </w:rPr>
              <w:t>415960</w:t>
            </w:r>
          </w:p>
        </w:tc>
        <w:tc>
          <w:tcPr>
            <w:tcW w:w="850" w:type="dxa"/>
          </w:tcPr>
          <w:p>
            <w:pPr>
              <w:widowControl/>
              <w:spacing w:line="240" w:lineRule="auto"/>
              <w:jc w:val="center"/>
              <w:rPr>
                <w:rFonts w:ascii="宋体" w:hAnsi="宋体" w:cs="宋体"/>
                <w:b/>
                <w:bCs/>
                <w:kern w:val="0"/>
                <w:sz w:val="18"/>
                <w:szCs w:val="18"/>
              </w:rPr>
            </w:pPr>
            <w:r>
              <w:rPr>
                <w:rFonts w:ascii="宋体" w:hAnsi="宋体" w:cs="宋体"/>
                <w:b/>
                <w:bCs/>
                <w:kern w:val="0"/>
                <w:sz w:val="18"/>
                <w:szCs w:val="18"/>
              </w:rPr>
              <w:t>225941</w:t>
            </w:r>
          </w:p>
        </w:tc>
        <w:tc>
          <w:tcPr>
            <w:tcW w:w="709" w:type="dxa"/>
            <w:shd w:val="clear" w:color="auto" w:fill="auto"/>
            <w:vAlign w:val="center"/>
          </w:tcPr>
          <w:p>
            <w:pPr>
              <w:widowControl/>
              <w:spacing w:line="240" w:lineRule="auto"/>
              <w:jc w:val="center"/>
              <w:rPr>
                <w:rFonts w:ascii="宋体" w:hAnsi="宋体" w:cs="宋体"/>
                <w:kern w:val="0"/>
                <w:sz w:val="18"/>
                <w:szCs w:val="18"/>
              </w:rPr>
            </w:pPr>
          </w:p>
        </w:tc>
        <w:tc>
          <w:tcPr>
            <w:tcW w:w="851" w:type="dxa"/>
            <w:shd w:val="clear" w:color="auto" w:fill="auto"/>
            <w:vAlign w:val="center"/>
          </w:tcPr>
          <w:p>
            <w:pPr>
              <w:widowControl/>
              <w:spacing w:line="240" w:lineRule="auto"/>
              <w:jc w:val="center"/>
              <w:rPr>
                <w:rFonts w:ascii="宋体" w:hAnsi="宋体" w:cs="宋体"/>
                <w:kern w:val="0"/>
                <w:sz w:val="18"/>
                <w:szCs w:val="18"/>
              </w:rPr>
            </w:pPr>
          </w:p>
        </w:tc>
        <w:tc>
          <w:tcPr>
            <w:tcW w:w="850" w:type="dxa"/>
            <w:shd w:val="clear" w:color="auto" w:fill="auto"/>
            <w:vAlign w:val="center"/>
          </w:tcPr>
          <w:p>
            <w:pPr>
              <w:widowControl/>
              <w:spacing w:line="240" w:lineRule="auto"/>
              <w:jc w:val="center"/>
              <w:rPr>
                <w:rFonts w:ascii="宋体" w:hAnsi="宋体" w:cs="宋体"/>
                <w:kern w:val="0"/>
                <w:sz w:val="18"/>
                <w:szCs w:val="18"/>
              </w:rPr>
            </w:pPr>
          </w:p>
        </w:tc>
        <w:tc>
          <w:tcPr>
            <w:tcW w:w="851" w:type="dxa"/>
            <w:shd w:val="clear" w:color="auto" w:fill="auto"/>
            <w:vAlign w:val="center"/>
          </w:tcPr>
          <w:p>
            <w:pPr>
              <w:widowControl/>
              <w:spacing w:line="240" w:lineRule="auto"/>
              <w:jc w:val="center"/>
              <w:rPr>
                <w:rFonts w:ascii="宋体" w:hAnsi="宋体" w:cs="宋体"/>
                <w:kern w:val="0"/>
                <w:sz w:val="18"/>
                <w:szCs w:val="18"/>
              </w:rPr>
            </w:pPr>
          </w:p>
        </w:tc>
        <w:tc>
          <w:tcPr>
            <w:tcW w:w="850" w:type="dxa"/>
            <w:shd w:val="clear" w:color="auto" w:fill="auto"/>
            <w:vAlign w:val="center"/>
          </w:tcPr>
          <w:p>
            <w:pPr>
              <w:widowControl/>
              <w:spacing w:line="240" w:lineRule="auto"/>
              <w:jc w:val="center"/>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六枝特区</w:t>
            </w:r>
          </w:p>
        </w:tc>
        <w:tc>
          <w:tcPr>
            <w:tcW w:w="99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岩脚镇</w:t>
            </w:r>
          </w:p>
        </w:tc>
        <w:tc>
          <w:tcPr>
            <w:tcW w:w="1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六枝岩脚至岩脚互通公路</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二级</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8.5</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3600</w:t>
            </w:r>
          </w:p>
        </w:tc>
        <w:tc>
          <w:tcPr>
            <w:tcW w:w="851" w:type="dxa"/>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3600</w:t>
            </w:r>
          </w:p>
        </w:tc>
        <w:tc>
          <w:tcPr>
            <w:tcW w:w="850" w:type="dxa"/>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2400</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在建</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2021</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2022</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0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六枝特区</w:t>
            </w:r>
          </w:p>
        </w:tc>
        <w:tc>
          <w:tcPr>
            <w:tcW w:w="99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木岗镇</w:t>
            </w:r>
          </w:p>
        </w:tc>
        <w:tc>
          <w:tcPr>
            <w:tcW w:w="1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X220六枝大用至木岗公路</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二级</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14.6</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14520</w:t>
            </w:r>
          </w:p>
        </w:tc>
        <w:tc>
          <w:tcPr>
            <w:tcW w:w="851" w:type="dxa"/>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1000</w:t>
            </w:r>
          </w:p>
        </w:tc>
        <w:tc>
          <w:tcPr>
            <w:tcW w:w="850" w:type="dxa"/>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1000</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在建</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2016</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2022</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0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六枝特区</w:t>
            </w:r>
          </w:p>
        </w:tc>
        <w:tc>
          <w:tcPr>
            <w:tcW w:w="99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新华镇</w:t>
            </w:r>
          </w:p>
        </w:tc>
        <w:tc>
          <w:tcPr>
            <w:tcW w:w="1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S310六枝特区大草坝至新华公路</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二级</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8.5</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9750</w:t>
            </w:r>
          </w:p>
        </w:tc>
        <w:tc>
          <w:tcPr>
            <w:tcW w:w="851" w:type="dxa"/>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3500</w:t>
            </w:r>
          </w:p>
        </w:tc>
        <w:tc>
          <w:tcPr>
            <w:tcW w:w="850" w:type="dxa"/>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3500</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在建</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2018</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2022</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51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10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六枝特区</w:t>
            </w:r>
          </w:p>
        </w:tc>
        <w:tc>
          <w:tcPr>
            <w:tcW w:w="99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梭戛苗族彝族回族乡</w:t>
            </w:r>
          </w:p>
        </w:tc>
        <w:tc>
          <w:tcPr>
            <w:tcW w:w="1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S214六枝特区梭戛至岩脚公路</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二级</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8.5</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14.6</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21592</w:t>
            </w:r>
          </w:p>
        </w:tc>
        <w:tc>
          <w:tcPr>
            <w:tcW w:w="851" w:type="dxa"/>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3641</w:t>
            </w:r>
          </w:p>
        </w:tc>
        <w:tc>
          <w:tcPr>
            <w:tcW w:w="850" w:type="dxa"/>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3641</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在建</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2017</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2021</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51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0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六枝特区</w:t>
            </w:r>
          </w:p>
        </w:tc>
        <w:tc>
          <w:tcPr>
            <w:tcW w:w="99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牛场苗族彝族乡</w:t>
            </w:r>
          </w:p>
        </w:tc>
        <w:tc>
          <w:tcPr>
            <w:tcW w:w="1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X014六枝牛场至新场互通公路</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二级</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8.5</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12</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16299</w:t>
            </w:r>
          </w:p>
        </w:tc>
        <w:tc>
          <w:tcPr>
            <w:tcW w:w="851" w:type="dxa"/>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16299</w:t>
            </w:r>
          </w:p>
        </w:tc>
        <w:tc>
          <w:tcPr>
            <w:tcW w:w="850" w:type="dxa"/>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9200</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拟建</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w:t>
            </w:r>
            <w:r>
              <w:rPr>
                <w:rFonts w:ascii="宋体" w:hAnsi="宋体" w:cs="宋体"/>
                <w:color w:val="000000"/>
                <w:kern w:val="0"/>
                <w:sz w:val="18"/>
                <w:szCs w:val="18"/>
              </w:rPr>
              <w:t>3</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2024</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10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六枝特区</w:t>
            </w:r>
          </w:p>
        </w:tc>
        <w:tc>
          <w:tcPr>
            <w:tcW w:w="99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中寨苗族彝族布依族乡</w:t>
            </w:r>
          </w:p>
        </w:tc>
        <w:tc>
          <w:tcPr>
            <w:tcW w:w="1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X222六枝中寨至双夕公路</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二级</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8.5</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7860</w:t>
            </w:r>
          </w:p>
        </w:tc>
        <w:tc>
          <w:tcPr>
            <w:tcW w:w="851" w:type="dxa"/>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7860</w:t>
            </w:r>
          </w:p>
        </w:tc>
        <w:tc>
          <w:tcPr>
            <w:tcW w:w="850" w:type="dxa"/>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4000</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拟建</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w:t>
            </w:r>
            <w:r>
              <w:rPr>
                <w:rFonts w:ascii="宋体" w:hAnsi="宋体" w:cs="宋体"/>
                <w:color w:val="000000"/>
                <w:kern w:val="0"/>
                <w:sz w:val="18"/>
                <w:szCs w:val="18"/>
              </w:rPr>
              <w:t>3</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2024</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10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盘州市</w:t>
            </w:r>
          </w:p>
        </w:tc>
        <w:tc>
          <w:tcPr>
            <w:tcW w:w="99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新民镇</w:t>
            </w:r>
          </w:p>
        </w:tc>
        <w:tc>
          <w:tcPr>
            <w:tcW w:w="1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S318盘州新民至普田公路</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二级</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20000</w:t>
            </w:r>
          </w:p>
        </w:tc>
        <w:tc>
          <w:tcPr>
            <w:tcW w:w="851" w:type="dxa"/>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20000</w:t>
            </w:r>
          </w:p>
        </w:tc>
        <w:tc>
          <w:tcPr>
            <w:tcW w:w="850" w:type="dxa"/>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14400</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拟建</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2021</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2022</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正开展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10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盘州市</w:t>
            </w:r>
          </w:p>
        </w:tc>
        <w:tc>
          <w:tcPr>
            <w:tcW w:w="99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竹海镇</w:t>
            </w:r>
          </w:p>
        </w:tc>
        <w:tc>
          <w:tcPr>
            <w:tcW w:w="1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S317盘州竹海至滑石板公路</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二级</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8.5</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3000</w:t>
            </w:r>
          </w:p>
        </w:tc>
        <w:tc>
          <w:tcPr>
            <w:tcW w:w="851" w:type="dxa"/>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3000</w:t>
            </w:r>
          </w:p>
        </w:tc>
        <w:tc>
          <w:tcPr>
            <w:tcW w:w="850" w:type="dxa"/>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2400</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拟建</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w:t>
            </w:r>
            <w:r>
              <w:rPr>
                <w:rFonts w:ascii="宋体" w:hAnsi="宋体" w:cs="宋体"/>
                <w:color w:val="000000"/>
                <w:kern w:val="0"/>
                <w:sz w:val="18"/>
                <w:szCs w:val="18"/>
              </w:rPr>
              <w:t>2</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2023</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已开展未审查</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未开展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10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盘州市</w:t>
            </w:r>
          </w:p>
        </w:tc>
        <w:tc>
          <w:tcPr>
            <w:tcW w:w="99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乌蒙镇</w:t>
            </w:r>
          </w:p>
        </w:tc>
        <w:tc>
          <w:tcPr>
            <w:tcW w:w="1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S218盘州乌蒙至坪地公路</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二级</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8.5</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24</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29640</w:t>
            </w:r>
          </w:p>
        </w:tc>
        <w:tc>
          <w:tcPr>
            <w:tcW w:w="851" w:type="dxa"/>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29640</w:t>
            </w:r>
          </w:p>
        </w:tc>
        <w:tc>
          <w:tcPr>
            <w:tcW w:w="850" w:type="dxa"/>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19200</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拟建</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2023</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2024</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正开展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0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盘州市</w:t>
            </w:r>
          </w:p>
        </w:tc>
        <w:tc>
          <w:tcPr>
            <w:tcW w:w="99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普田回族乡</w:t>
            </w:r>
          </w:p>
        </w:tc>
        <w:tc>
          <w:tcPr>
            <w:tcW w:w="1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S318盘州普田至保田公路</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二级</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8.5</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851" w:type="dxa"/>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2000</w:t>
            </w:r>
          </w:p>
        </w:tc>
        <w:tc>
          <w:tcPr>
            <w:tcW w:w="850" w:type="dxa"/>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2000</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在建</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2018</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2021</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10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盘州市</w:t>
            </w:r>
          </w:p>
        </w:tc>
        <w:tc>
          <w:tcPr>
            <w:tcW w:w="99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旧营白族彝族苗族乡</w:t>
            </w:r>
          </w:p>
        </w:tc>
        <w:tc>
          <w:tcPr>
            <w:tcW w:w="1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X230盘州旧营至罗西坡公路</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二级</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8.5</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14</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21000</w:t>
            </w:r>
          </w:p>
        </w:tc>
        <w:tc>
          <w:tcPr>
            <w:tcW w:w="851" w:type="dxa"/>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1000</w:t>
            </w:r>
          </w:p>
        </w:tc>
        <w:tc>
          <w:tcPr>
            <w:tcW w:w="850" w:type="dxa"/>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1000</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拟建</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2018</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2021</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10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水城区</w:t>
            </w:r>
          </w:p>
        </w:tc>
        <w:tc>
          <w:tcPr>
            <w:tcW w:w="99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都格镇</w:t>
            </w:r>
          </w:p>
        </w:tc>
        <w:tc>
          <w:tcPr>
            <w:tcW w:w="1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X258水城都格至发耳公路</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二级</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8.5</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13000</w:t>
            </w:r>
          </w:p>
        </w:tc>
        <w:tc>
          <w:tcPr>
            <w:tcW w:w="851" w:type="dxa"/>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13000</w:t>
            </w:r>
          </w:p>
        </w:tc>
        <w:tc>
          <w:tcPr>
            <w:tcW w:w="850" w:type="dxa"/>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10400</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拟建</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w:t>
            </w:r>
            <w:r>
              <w:rPr>
                <w:rFonts w:ascii="宋体" w:hAnsi="宋体" w:cs="宋体"/>
                <w:color w:val="000000"/>
                <w:kern w:val="0"/>
                <w:sz w:val="18"/>
                <w:szCs w:val="18"/>
              </w:rPr>
              <w:t>023</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w:t>
            </w:r>
            <w:r>
              <w:rPr>
                <w:rFonts w:ascii="宋体" w:hAnsi="宋体" w:cs="宋体"/>
                <w:color w:val="000000"/>
                <w:kern w:val="0"/>
                <w:sz w:val="18"/>
                <w:szCs w:val="18"/>
              </w:rPr>
              <w:t>25</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10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水城区</w:t>
            </w:r>
          </w:p>
        </w:tc>
        <w:tc>
          <w:tcPr>
            <w:tcW w:w="99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鸡场镇</w:t>
            </w:r>
          </w:p>
        </w:tc>
        <w:tc>
          <w:tcPr>
            <w:tcW w:w="1703"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X244</w:t>
            </w:r>
            <w:r>
              <w:rPr>
                <w:rFonts w:hint="eastAsia" w:ascii="宋体" w:hAnsi="宋体" w:cs="宋体"/>
                <w:color w:val="000000"/>
                <w:kern w:val="0"/>
                <w:sz w:val="18"/>
                <w:szCs w:val="18"/>
              </w:rPr>
              <w:t>水城鸡场至营盘公路</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二级</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8.5</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31</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31000</w:t>
            </w:r>
          </w:p>
        </w:tc>
        <w:tc>
          <w:tcPr>
            <w:tcW w:w="851" w:type="dxa"/>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28500</w:t>
            </w:r>
          </w:p>
        </w:tc>
        <w:tc>
          <w:tcPr>
            <w:tcW w:w="850" w:type="dxa"/>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24800</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在建</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w:t>
            </w:r>
            <w:r>
              <w:rPr>
                <w:rFonts w:ascii="宋体" w:hAnsi="宋体" w:cs="宋体"/>
                <w:color w:val="000000"/>
                <w:kern w:val="0"/>
                <w:sz w:val="18"/>
                <w:szCs w:val="18"/>
              </w:rPr>
              <w:t>17</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w:t>
            </w:r>
            <w:r>
              <w:rPr>
                <w:rFonts w:ascii="宋体" w:hAnsi="宋体" w:cs="宋体"/>
                <w:color w:val="000000"/>
                <w:kern w:val="0"/>
                <w:sz w:val="18"/>
                <w:szCs w:val="18"/>
              </w:rPr>
              <w:t>24</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10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水城区</w:t>
            </w:r>
          </w:p>
        </w:tc>
        <w:tc>
          <w:tcPr>
            <w:tcW w:w="99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化乐镇</w:t>
            </w:r>
          </w:p>
        </w:tc>
        <w:tc>
          <w:tcPr>
            <w:tcW w:w="1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S310水城化乐至比德公路</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二级</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8.5</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44140</w:t>
            </w:r>
          </w:p>
        </w:tc>
        <w:tc>
          <w:tcPr>
            <w:tcW w:w="851" w:type="dxa"/>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44140</w:t>
            </w:r>
          </w:p>
        </w:tc>
        <w:tc>
          <w:tcPr>
            <w:tcW w:w="850" w:type="dxa"/>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10400</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在建</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2021</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2022</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10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水城区</w:t>
            </w:r>
          </w:p>
        </w:tc>
        <w:tc>
          <w:tcPr>
            <w:tcW w:w="99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比德镇</w:t>
            </w:r>
          </w:p>
        </w:tc>
        <w:tc>
          <w:tcPr>
            <w:tcW w:w="1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S310水城比德至立火公路</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二级</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8.5</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30560</w:t>
            </w:r>
          </w:p>
        </w:tc>
        <w:tc>
          <w:tcPr>
            <w:tcW w:w="851" w:type="dxa"/>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30560</w:t>
            </w:r>
          </w:p>
        </w:tc>
        <w:tc>
          <w:tcPr>
            <w:tcW w:w="850" w:type="dxa"/>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7200</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在建</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2021</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2022</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10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水城区</w:t>
            </w:r>
          </w:p>
        </w:tc>
        <w:tc>
          <w:tcPr>
            <w:tcW w:w="99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坪寨彝族乡</w:t>
            </w:r>
          </w:p>
        </w:tc>
        <w:tc>
          <w:tcPr>
            <w:tcW w:w="1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S217水城坪寨至玉舍公路</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二级</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8.5</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71594</w:t>
            </w:r>
          </w:p>
        </w:tc>
        <w:tc>
          <w:tcPr>
            <w:tcW w:w="851" w:type="dxa"/>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32000</w:t>
            </w:r>
          </w:p>
        </w:tc>
        <w:tc>
          <w:tcPr>
            <w:tcW w:w="850" w:type="dxa"/>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32000</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在建</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2020</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2022</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10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水城区</w:t>
            </w:r>
          </w:p>
        </w:tc>
        <w:tc>
          <w:tcPr>
            <w:tcW w:w="99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顺场苗族彝族布依族乡</w:t>
            </w:r>
          </w:p>
        </w:tc>
        <w:tc>
          <w:tcPr>
            <w:tcW w:w="1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X264水城顺场至龙场公路</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二级</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8.5</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851" w:type="dxa"/>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1000</w:t>
            </w:r>
          </w:p>
        </w:tc>
        <w:tc>
          <w:tcPr>
            <w:tcW w:w="850" w:type="dxa"/>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1000</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在建</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2020</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2022</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10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水城区</w:t>
            </w:r>
          </w:p>
        </w:tc>
        <w:tc>
          <w:tcPr>
            <w:tcW w:w="99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野钟苗族彝族布依族乡</w:t>
            </w:r>
          </w:p>
        </w:tc>
        <w:tc>
          <w:tcPr>
            <w:tcW w:w="1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S216水城野钟至米箩公路</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二级</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8.5</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19</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45920</w:t>
            </w:r>
          </w:p>
        </w:tc>
        <w:tc>
          <w:tcPr>
            <w:tcW w:w="851" w:type="dxa"/>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45920</w:t>
            </w:r>
          </w:p>
        </w:tc>
        <w:tc>
          <w:tcPr>
            <w:tcW w:w="850" w:type="dxa"/>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15200</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在建</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2021</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2023</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19</w:t>
            </w:r>
          </w:p>
        </w:tc>
        <w:tc>
          <w:tcPr>
            <w:tcW w:w="10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水城区</w:t>
            </w:r>
          </w:p>
        </w:tc>
        <w:tc>
          <w:tcPr>
            <w:tcW w:w="99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果布戛彝族苗族布依族乡</w:t>
            </w:r>
          </w:p>
        </w:tc>
        <w:tc>
          <w:tcPr>
            <w:tcW w:w="1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S216水城果布戛至常明公路</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二级</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8.5</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12000</w:t>
            </w:r>
          </w:p>
        </w:tc>
        <w:tc>
          <w:tcPr>
            <w:tcW w:w="851" w:type="dxa"/>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1000</w:t>
            </w:r>
          </w:p>
        </w:tc>
        <w:tc>
          <w:tcPr>
            <w:tcW w:w="850" w:type="dxa"/>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1000</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在建</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2017</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2021</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10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钟山区</w:t>
            </w:r>
          </w:p>
        </w:tc>
        <w:tc>
          <w:tcPr>
            <w:tcW w:w="99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木果镇</w:t>
            </w:r>
          </w:p>
        </w:tc>
        <w:tc>
          <w:tcPr>
            <w:tcW w:w="1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钟山区木果至木果互通公路</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二级</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8.5</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9000</w:t>
            </w:r>
          </w:p>
        </w:tc>
        <w:tc>
          <w:tcPr>
            <w:tcW w:w="851" w:type="dxa"/>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9000</w:t>
            </w:r>
          </w:p>
        </w:tc>
        <w:tc>
          <w:tcPr>
            <w:tcW w:w="850" w:type="dxa"/>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4800</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拟建</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2023</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2023</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未启动</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未启动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w:t>
            </w:r>
            <w:r>
              <w:rPr>
                <w:rFonts w:ascii="宋体" w:hAnsi="宋体" w:cs="宋体"/>
                <w:color w:val="000000"/>
                <w:kern w:val="0"/>
                <w:sz w:val="18"/>
                <w:szCs w:val="18"/>
              </w:rPr>
              <w:t>1</w:t>
            </w:r>
          </w:p>
        </w:tc>
        <w:tc>
          <w:tcPr>
            <w:tcW w:w="10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钟山区</w:t>
            </w:r>
          </w:p>
        </w:tc>
        <w:tc>
          <w:tcPr>
            <w:tcW w:w="99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青林苗族彝族乡</w:t>
            </w:r>
          </w:p>
        </w:tc>
        <w:tc>
          <w:tcPr>
            <w:tcW w:w="170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S310钟山青林至犀牛公路</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二级</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8.5</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6000</w:t>
            </w:r>
          </w:p>
        </w:tc>
        <w:tc>
          <w:tcPr>
            <w:tcW w:w="851" w:type="dxa"/>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6000</w:t>
            </w:r>
          </w:p>
        </w:tc>
        <w:tc>
          <w:tcPr>
            <w:tcW w:w="850" w:type="dxa"/>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3200</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拟建</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w:t>
            </w:r>
            <w:r>
              <w:rPr>
                <w:rFonts w:ascii="宋体" w:hAnsi="宋体" w:cs="宋体"/>
                <w:color w:val="000000"/>
                <w:kern w:val="0"/>
                <w:sz w:val="18"/>
                <w:szCs w:val="18"/>
              </w:rPr>
              <w:t>23</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w:t>
            </w:r>
            <w:r>
              <w:rPr>
                <w:rFonts w:ascii="宋体" w:hAnsi="宋体" w:cs="宋体"/>
                <w:color w:val="000000"/>
                <w:kern w:val="0"/>
                <w:sz w:val="18"/>
                <w:szCs w:val="18"/>
              </w:rPr>
              <w:t>24</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未启动</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未启动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w:t>
            </w:r>
            <w:r>
              <w:rPr>
                <w:rFonts w:ascii="宋体" w:hAnsi="宋体" w:cs="宋体"/>
                <w:color w:val="000000"/>
                <w:kern w:val="0"/>
                <w:sz w:val="18"/>
                <w:szCs w:val="18"/>
              </w:rPr>
              <w:t>2</w:t>
            </w:r>
          </w:p>
        </w:tc>
        <w:tc>
          <w:tcPr>
            <w:tcW w:w="10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钟山区</w:t>
            </w:r>
          </w:p>
        </w:tc>
        <w:tc>
          <w:tcPr>
            <w:tcW w:w="99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保华镇</w:t>
            </w:r>
          </w:p>
        </w:tc>
        <w:tc>
          <w:tcPr>
            <w:tcW w:w="1703" w:type="dxa"/>
            <w:shd w:val="clear" w:color="auto" w:fill="auto"/>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S215钟山区保华至发箐互通公路</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二级</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10</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13</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32500</w:t>
            </w:r>
          </w:p>
        </w:tc>
        <w:tc>
          <w:tcPr>
            <w:tcW w:w="851" w:type="dxa"/>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32500</w:t>
            </w:r>
          </w:p>
        </w:tc>
        <w:tc>
          <w:tcPr>
            <w:tcW w:w="850" w:type="dxa"/>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13000</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拟建</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2022</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2023</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未启动</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未启动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w:t>
            </w:r>
            <w:r>
              <w:rPr>
                <w:rFonts w:ascii="宋体" w:hAnsi="宋体" w:cs="宋体"/>
                <w:color w:val="000000"/>
                <w:kern w:val="0"/>
                <w:sz w:val="18"/>
                <w:szCs w:val="18"/>
              </w:rPr>
              <w:t>3</w:t>
            </w:r>
          </w:p>
        </w:tc>
        <w:tc>
          <w:tcPr>
            <w:tcW w:w="10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钟山区</w:t>
            </w:r>
          </w:p>
        </w:tc>
        <w:tc>
          <w:tcPr>
            <w:tcW w:w="99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南开苗族彝族乡</w:t>
            </w:r>
          </w:p>
        </w:tc>
        <w:tc>
          <w:tcPr>
            <w:tcW w:w="1703" w:type="dxa"/>
            <w:shd w:val="clear" w:color="auto" w:fill="auto"/>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S215钟山区南开至保华公路</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二级</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10</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12</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30000</w:t>
            </w:r>
          </w:p>
        </w:tc>
        <w:tc>
          <w:tcPr>
            <w:tcW w:w="851" w:type="dxa"/>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30000</w:t>
            </w:r>
          </w:p>
        </w:tc>
        <w:tc>
          <w:tcPr>
            <w:tcW w:w="850" w:type="dxa"/>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12000</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拟建</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2022</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2023</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已开展未审查</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未启动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w:t>
            </w:r>
            <w:r>
              <w:rPr>
                <w:rFonts w:ascii="宋体" w:hAnsi="宋体" w:cs="宋体"/>
                <w:color w:val="000000"/>
                <w:kern w:val="0"/>
                <w:sz w:val="18"/>
                <w:szCs w:val="18"/>
              </w:rPr>
              <w:t>4</w:t>
            </w:r>
          </w:p>
        </w:tc>
        <w:tc>
          <w:tcPr>
            <w:tcW w:w="10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钟山区</w:t>
            </w:r>
          </w:p>
        </w:tc>
        <w:tc>
          <w:tcPr>
            <w:tcW w:w="99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金盆苗族彝族乡</w:t>
            </w:r>
          </w:p>
        </w:tc>
        <w:tc>
          <w:tcPr>
            <w:tcW w:w="1703" w:type="dxa"/>
            <w:shd w:val="clear" w:color="auto" w:fill="auto"/>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X2</w:t>
            </w:r>
            <w:r>
              <w:rPr>
                <w:rFonts w:ascii="宋体" w:hAnsi="宋体" w:cs="宋体"/>
                <w:color w:val="000000"/>
                <w:kern w:val="0"/>
                <w:sz w:val="18"/>
                <w:szCs w:val="18"/>
              </w:rPr>
              <w:t>06</w:t>
            </w:r>
            <w:r>
              <w:rPr>
                <w:rFonts w:hint="eastAsia" w:ascii="宋体" w:hAnsi="宋体" w:cs="宋体"/>
                <w:color w:val="000000"/>
                <w:kern w:val="0"/>
                <w:sz w:val="18"/>
                <w:szCs w:val="18"/>
              </w:rPr>
              <w:t>钟山区木果至金盆公路</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二级</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10</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17</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34000</w:t>
            </w:r>
          </w:p>
        </w:tc>
        <w:tc>
          <w:tcPr>
            <w:tcW w:w="851" w:type="dxa"/>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34000</w:t>
            </w:r>
          </w:p>
        </w:tc>
        <w:tc>
          <w:tcPr>
            <w:tcW w:w="850" w:type="dxa"/>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17000</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拟建</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2022</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ascii="宋体" w:hAnsi="宋体" w:cs="宋体"/>
                <w:color w:val="000000"/>
                <w:kern w:val="0"/>
                <w:sz w:val="18"/>
                <w:szCs w:val="18"/>
              </w:rPr>
              <w:t>2023</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已开展未审查</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未启动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3"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w:t>
            </w:r>
            <w:r>
              <w:rPr>
                <w:rFonts w:ascii="宋体" w:hAnsi="宋体" w:cs="宋体"/>
                <w:color w:val="000000"/>
                <w:kern w:val="0"/>
                <w:sz w:val="18"/>
                <w:szCs w:val="18"/>
              </w:rPr>
              <w:t>5</w:t>
            </w:r>
          </w:p>
        </w:tc>
        <w:tc>
          <w:tcPr>
            <w:tcW w:w="1042"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六枝特区</w:t>
            </w:r>
          </w:p>
        </w:tc>
        <w:tc>
          <w:tcPr>
            <w:tcW w:w="99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牂牁镇</w:t>
            </w:r>
          </w:p>
        </w:tc>
        <w:tc>
          <w:tcPr>
            <w:tcW w:w="1703" w:type="dxa"/>
            <w:shd w:val="clear" w:color="auto" w:fill="auto"/>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S215牂牁到半坡公路</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二级</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8</w:t>
            </w:r>
            <w:r>
              <w:rPr>
                <w:rFonts w:ascii="宋体" w:hAnsi="宋体" w:cs="宋体"/>
                <w:color w:val="000000"/>
                <w:kern w:val="0"/>
                <w:sz w:val="18"/>
                <w:szCs w:val="18"/>
              </w:rPr>
              <w:t>.5</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w:t>
            </w:r>
            <w:r>
              <w:rPr>
                <w:rFonts w:ascii="宋体" w:hAnsi="宋体" w:cs="宋体"/>
                <w:color w:val="000000"/>
                <w:kern w:val="0"/>
                <w:sz w:val="18"/>
                <w:szCs w:val="18"/>
              </w:rPr>
              <w:t>4</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w:t>
            </w:r>
            <w:r>
              <w:rPr>
                <w:rFonts w:ascii="宋体" w:hAnsi="宋体" w:cs="宋体"/>
                <w:color w:val="000000"/>
                <w:kern w:val="0"/>
                <w:sz w:val="18"/>
                <w:szCs w:val="18"/>
              </w:rPr>
              <w:t>6800</w:t>
            </w:r>
          </w:p>
        </w:tc>
        <w:tc>
          <w:tcPr>
            <w:tcW w:w="851" w:type="dxa"/>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w:t>
            </w:r>
            <w:r>
              <w:rPr>
                <w:rFonts w:ascii="宋体" w:hAnsi="宋体" w:cs="宋体"/>
                <w:color w:val="000000"/>
                <w:kern w:val="0"/>
                <w:sz w:val="18"/>
                <w:szCs w:val="18"/>
              </w:rPr>
              <w:t>6800</w:t>
            </w:r>
          </w:p>
        </w:tc>
        <w:tc>
          <w:tcPr>
            <w:tcW w:w="850" w:type="dxa"/>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w:t>
            </w:r>
            <w:r>
              <w:rPr>
                <w:rFonts w:ascii="宋体" w:hAnsi="宋体" w:cs="宋体"/>
                <w:color w:val="000000"/>
                <w:kern w:val="0"/>
                <w:sz w:val="18"/>
                <w:szCs w:val="18"/>
              </w:rPr>
              <w:t>1200</w:t>
            </w:r>
          </w:p>
        </w:tc>
        <w:tc>
          <w:tcPr>
            <w:tcW w:w="709"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拟建</w:t>
            </w:r>
          </w:p>
        </w:tc>
        <w:tc>
          <w:tcPr>
            <w:tcW w:w="851"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w:t>
            </w:r>
            <w:r>
              <w:rPr>
                <w:rFonts w:ascii="宋体" w:hAnsi="宋体" w:cs="宋体"/>
                <w:color w:val="000000"/>
                <w:kern w:val="0"/>
                <w:sz w:val="18"/>
                <w:szCs w:val="18"/>
              </w:rPr>
              <w:t>022</w:t>
            </w:r>
          </w:p>
        </w:tc>
        <w:tc>
          <w:tcPr>
            <w:tcW w:w="850" w:type="dxa"/>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w:t>
            </w:r>
            <w:r>
              <w:rPr>
                <w:rFonts w:ascii="宋体" w:hAnsi="宋体" w:cs="宋体"/>
                <w:color w:val="000000"/>
                <w:kern w:val="0"/>
                <w:sz w:val="18"/>
                <w:szCs w:val="18"/>
              </w:rPr>
              <w:t>024</w:t>
            </w:r>
          </w:p>
        </w:tc>
        <w:tc>
          <w:tcPr>
            <w:tcW w:w="851" w:type="dxa"/>
            <w:shd w:val="clear" w:color="auto" w:fill="auto"/>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已开展未审查</w:t>
            </w:r>
          </w:p>
        </w:tc>
        <w:tc>
          <w:tcPr>
            <w:tcW w:w="850" w:type="dxa"/>
            <w:shd w:val="clear" w:color="auto" w:fill="auto"/>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未启动</w:t>
            </w:r>
          </w:p>
        </w:tc>
      </w:tr>
    </w:tbl>
    <w:p>
      <w:pPr>
        <w:rPr>
          <w:rFonts w:asciiTheme="majorEastAsia" w:hAnsiTheme="majorEastAsia" w:eastAsiaTheme="majorEastAsia"/>
          <w:szCs w:val="28"/>
        </w:rPr>
        <w:sectPr>
          <w:pgSz w:w="16838" w:h="11906" w:orient="landscape"/>
          <w:pgMar w:top="1800" w:right="1440" w:bottom="1800" w:left="1440" w:header="851" w:footer="992" w:gutter="0"/>
          <w:cols w:space="425" w:num="1"/>
          <w:docGrid w:type="lines" w:linePitch="381" w:charSpace="0"/>
        </w:sectPr>
      </w:pPr>
    </w:p>
    <w:p>
      <w:pPr>
        <w:keepNext/>
        <w:keepLines/>
        <w:spacing w:after="100" w:afterAutospacing="1"/>
        <w:outlineLvl w:val="0"/>
        <w:rPr>
          <w:rFonts w:cs="宋体" w:asciiTheme="majorEastAsia" w:hAnsiTheme="majorEastAsia" w:eastAsiaTheme="majorEastAsia"/>
          <w:b/>
          <w:bCs/>
          <w:kern w:val="44"/>
          <w:sz w:val="32"/>
          <w:szCs w:val="44"/>
        </w:rPr>
      </w:pPr>
      <w:bookmarkStart w:id="1006" w:name="_Toc89102217"/>
      <w:r>
        <w:rPr>
          <w:rFonts w:hint="eastAsia" w:cs="宋体" w:asciiTheme="majorEastAsia" w:hAnsiTheme="majorEastAsia" w:eastAsiaTheme="majorEastAsia"/>
          <w:b/>
          <w:bCs/>
          <w:kern w:val="44"/>
          <w:sz w:val="32"/>
          <w:szCs w:val="44"/>
        </w:rPr>
        <w:t>附表</w:t>
      </w:r>
      <w:r>
        <w:rPr>
          <w:rFonts w:asciiTheme="majorEastAsia" w:hAnsiTheme="majorEastAsia" w:eastAsiaTheme="majorEastAsia"/>
          <w:b/>
          <w:bCs/>
          <w:kern w:val="44"/>
          <w:sz w:val="32"/>
          <w:szCs w:val="44"/>
        </w:rPr>
        <w:t xml:space="preserve">4  </w:t>
      </w:r>
      <w:r>
        <w:rPr>
          <w:rFonts w:hint="eastAsia" w:cs="宋体" w:asciiTheme="majorEastAsia" w:hAnsiTheme="majorEastAsia" w:eastAsiaTheme="majorEastAsia"/>
          <w:b/>
          <w:bCs/>
          <w:kern w:val="44"/>
          <w:sz w:val="32"/>
          <w:szCs w:val="44"/>
        </w:rPr>
        <w:t>六盘水市</w:t>
      </w:r>
      <w:r>
        <w:rPr>
          <w:rFonts w:asciiTheme="majorEastAsia" w:hAnsiTheme="majorEastAsia" w:eastAsiaTheme="majorEastAsia"/>
          <w:b/>
          <w:bCs/>
          <w:kern w:val="44"/>
          <w:sz w:val="32"/>
          <w:szCs w:val="44"/>
        </w:rPr>
        <w:t>“</w:t>
      </w:r>
      <w:r>
        <w:rPr>
          <w:rFonts w:hint="eastAsia" w:cs="宋体" w:asciiTheme="majorEastAsia" w:hAnsiTheme="majorEastAsia" w:eastAsiaTheme="majorEastAsia"/>
          <w:b/>
          <w:bCs/>
          <w:kern w:val="44"/>
          <w:sz w:val="32"/>
          <w:szCs w:val="44"/>
        </w:rPr>
        <w:t>十四五</w:t>
      </w:r>
      <w:r>
        <w:rPr>
          <w:rFonts w:asciiTheme="majorEastAsia" w:hAnsiTheme="majorEastAsia" w:eastAsiaTheme="majorEastAsia"/>
          <w:b/>
          <w:bCs/>
          <w:kern w:val="44"/>
          <w:sz w:val="32"/>
          <w:szCs w:val="44"/>
        </w:rPr>
        <w:t>”</w:t>
      </w:r>
      <w:r>
        <w:rPr>
          <w:rFonts w:hint="eastAsia" w:cs="宋体" w:asciiTheme="majorEastAsia" w:hAnsiTheme="majorEastAsia" w:eastAsiaTheme="majorEastAsia"/>
          <w:b/>
          <w:bCs/>
          <w:kern w:val="44"/>
          <w:sz w:val="32"/>
          <w:szCs w:val="44"/>
        </w:rPr>
        <w:t>建制村通双车道公路改造</w:t>
      </w:r>
      <w:bookmarkEnd w:id="1006"/>
    </w:p>
    <w:tbl>
      <w:tblPr>
        <w:tblStyle w:val="19"/>
        <w:tblW w:w="13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7"/>
        <w:gridCol w:w="998"/>
        <w:gridCol w:w="992"/>
        <w:gridCol w:w="1843"/>
        <w:gridCol w:w="1275"/>
        <w:gridCol w:w="993"/>
        <w:gridCol w:w="850"/>
        <w:gridCol w:w="992"/>
        <w:gridCol w:w="1134"/>
        <w:gridCol w:w="1134"/>
        <w:gridCol w:w="851"/>
        <w:gridCol w:w="85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vMerge w:val="restart"/>
            <w:shd w:val="clear" w:color="auto" w:fill="auto"/>
            <w:vAlign w:val="center"/>
          </w:tcPr>
          <w:p>
            <w:pPr>
              <w:widowControl/>
              <w:spacing w:line="240" w:lineRule="auto"/>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序号</w:t>
            </w:r>
          </w:p>
        </w:tc>
        <w:tc>
          <w:tcPr>
            <w:tcW w:w="1990" w:type="dxa"/>
            <w:gridSpan w:val="2"/>
            <w:vMerge w:val="restart"/>
            <w:shd w:val="clear" w:color="auto" w:fill="auto"/>
            <w:noWrap/>
            <w:vAlign w:val="center"/>
          </w:tcPr>
          <w:p>
            <w:pPr>
              <w:widowControl/>
              <w:spacing w:line="240" w:lineRule="auto"/>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地区</w:t>
            </w:r>
          </w:p>
        </w:tc>
        <w:tc>
          <w:tcPr>
            <w:tcW w:w="1843" w:type="dxa"/>
            <w:vMerge w:val="restart"/>
            <w:shd w:val="clear" w:color="auto" w:fill="auto"/>
            <w:noWrap/>
            <w:vAlign w:val="center"/>
          </w:tcPr>
          <w:p>
            <w:pPr>
              <w:widowControl/>
              <w:spacing w:line="240" w:lineRule="auto"/>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建制村名称</w:t>
            </w:r>
          </w:p>
        </w:tc>
        <w:tc>
          <w:tcPr>
            <w:tcW w:w="1275" w:type="dxa"/>
            <w:vMerge w:val="restart"/>
            <w:shd w:val="clear" w:color="auto" w:fill="auto"/>
            <w:vAlign w:val="center"/>
          </w:tcPr>
          <w:p>
            <w:pPr>
              <w:widowControl/>
              <w:spacing w:line="240" w:lineRule="auto"/>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项目名称</w:t>
            </w:r>
          </w:p>
        </w:tc>
        <w:tc>
          <w:tcPr>
            <w:tcW w:w="6804" w:type="dxa"/>
            <w:gridSpan w:val="7"/>
          </w:tcPr>
          <w:p>
            <w:pPr>
              <w:widowControl/>
              <w:spacing w:line="240" w:lineRule="auto"/>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拟规划建设情况</w:t>
            </w:r>
          </w:p>
        </w:tc>
        <w:tc>
          <w:tcPr>
            <w:tcW w:w="709" w:type="dxa"/>
            <w:vMerge w:val="restart"/>
            <w:shd w:val="clear" w:color="auto" w:fill="auto"/>
            <w:vAlign w:val="center"/>
          </w:tcPr>
          <w:p>
            <w:pPr>
              <w:widowControl/>
              <w:spacing w:line="240" w:lineRule="auto"/>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vMerge w:val="continue"/>
            <w:vAlign w:val="center"/>
          </w:tcPr>
          <w:p>
            <w:pPr>
              <w:widowControl/>
              <w:spacing w:line="240" w:lineRule="auto"/>
              <w:jc w:val="left"/>
              <w:rPr>
                <w:rFonts w:cs="宋体" w:asciiTheme="minorEastAsia" w:hAnsiTheme="minorEastAsia" w:eastAsiaTheme="minorEastAsia"/>
                <w:b/>
                <w:bCs/>
                <w:color w:val="000000"/>
                <w:kern w:val="0"/>
                <w:sz w:val="18"/>
                <w:szCs w:val="18"/>
              </w:rPr>
            </w:pPr>
          </w:p>
        </w:tc>
        <w:tc>
          <w:tcPr>
            <w:tcW w:w="1990" w:type="dxa"/>
            <w:gridSpan w:val="2"/>
            <w:vMerge w:val="continue"/>
            <w:vAlign w:val="center"/>
          </w:tcPr>
          <w:p>
            <w:pPr>
              <w:widowControl/>
              <w:spacing w:line="240" w:lineRule="auto"/>
              <w:jc w:val="left"/>
              <w:rPr>
                <w:rFonts w:cs="宋体" w:asciiTheme="minorEastAsia" w:hAnsiTheme="minorEastAsia" w:eastAsiaTheme="minorEastAsia"/>
                <w:b/>
                <w:bCs/>
                <w:color w:val="000000"/>
                <w:kern w:val="0"/>
                <w:sz w:val="18"/>
                <w:szCs w:val="18"/>
              </w:rPr>
            </w:pPr>
          </w:p>
        </w:tc>
        <w:tc>
          <w:tcPr>
            <w:tcW w:w="1843" w:type="dxa"/>
            <w:vMerge w:val="continue"/>
            <w:vAlign w:val="center"/>
          </w:tcPr>
          <w:p>
            <w:pPr>
              <w:widowControl/>
              <w:spacing w:line="240" w:lineRule="auto"/>
              <w:jc w:val="left"/>
              <w:rPr>
                <w:rFonts w:cs="宋体" w:asciiTheme="minorEastAsia" w:hAnsiTheme="minorEastAsia" w:eastAsiaTheme="minorEastAsia"/>
                <w:b/>
                <w:bCs/>
                <w:color w:val="000000"/>
                <w:kern w:val="0"/>
                <w:sz w:val="18"/>
                <w:szCs w:val="18"/>
              </w:rPr>
            </w:pPr>
          </w:p>
        </w:tc>
        <w:tc>
          <w:tcPr>
            <w:tcW w:w="1275" w:type="dxa"/>
            <w:vMerge w:val="continue"/>
            <w:vAlign w:val="center"/>
          </w:tcPr>
          <w:p>
            <w:pPr>
              <w:widowControl/>
              <w:spacing w:line="240" w:lineRule="auto"/>
              <w:jc w:val="left"/>
              <w:rPr>
                <w:rFonts w:cs="宋体" w:asciiTheme="minorEastAsia" w:hAnsiTheme="minorEastAsia" w:eastAsiaTheme="minorEastAsia"/>
                <w:b/>
                <w:bCs/>
                <w:color w:val="000000"/>
                <w:kern w:val="0"/>
                <w:sz w:val="18"/>
                <w:szCs w:val="18"/>
              </w:rPr>
            </w:pPr>
          </w:p>
        </w:tc>
        <w:tc>
          <w:tcPr>
            <w:tcW w:w="1843" w:type="dxa"/>
            <w:gridSpan w:val="2"/>
            <w:shd w:val="clear" w:color="auto" w:fill="auto"/>
            <w:vAlign w:val="center"/>
          </w:tcPr>
          <w:p>
            <w:pPr>
              <w:widowControl/>
              <w:spacing w:line="240" w:lineRule="auto"/>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技术等级及里程（公里）</w:t>
            </w:r>
          </w:p>
        </w:tc>
        <w:tc>
          <w:tcPr>
            <w:tcW w:w="992" w:type="dxa"/>
            <w:shd w:val="clear" w:color="auto" w:fill="auto"/>
            <w:vAlign w:val="center"/>
          </w:tcPr>
          <w:p>
            <w:pPr>
              <w:widowControl/>
              <w:spacing w:line="240" w:lineRule="auto"/>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路基宽度（米）</w:t>
            </w:r>
          </w:p>
        </w:tc>
        <w:tc>
          <w:tcPr>
            <w:tcW w:w="1134" w:type="dxa"/>
            <w:shd w:val="clear" w:color="auto" w:fill="auto"/>
            <w:vAlign w:val="center"/>
          </w:tcPr>
          <w:p>
            <w:pPr>
              <w:widowControl/>
              <w:spacing w:line="240" w:lineRule="auto"/>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估算投资（万元）</w:t>
            </w:r>
          </w:p>
        </w:tc>
        <w:tc>
          <w:tcPr>
            <w:tcW w:w="1134" w:type="dxa"/>
          </w:tcPr>
          <w:p>
            <w:pPr>
              <w:widowControl/>
              <w:spacing w:line="240" w:lineRule="auto"/>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“十四五”计划投资（万元）</w:t>
            </w:r>
            <w:r>
              <w:rPr>
                <w:rFonts w:hint="eastAsia" w:cs="宋体" w:asciiTheme="minorEastAsia" w:hAnsiTheme="minorEastAsia" w:eastAsiaTheme="minorEastAsia"/>
                <w:b/>
                <w:bCs/>
                <w:color w:val="000000"/>
                <w:kern w:val="0"/>
                <w:sz w:val="18"/>
                <w:szCs w:val="18"/>
              </w:rPr>
              <w:tab/>
            </w:r>
          </w:p>
        </w:tc>
        <w:tc>
          <w:tcPr>
            <w:tcW w:w="1701" w:type="dxa"/>
            <w:gridSpan w:val="2"/>
            <w:shd w:val="clear" w:color="auto" w:fill="auto"/>
            <w:vAlign w:val="center"/>
          </w:tcPr>
          <w:p>
            <w:pPr>
              <w:widowControl/>
              <w:spacing w:line="240" w:lineRule="auto"/>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建设年限</w:t>
            </w:r>
          </w:p>
        </w:tc>
        <w:tc>
          <w:tcPr>
            <w:tcW w:w="709" w:type="dxa"/>
            <w:vMerge w:val="continue"/>
            <w:vAlign w:val="center"/>
          </w:tcPr>
          <w:p>
            <w:pPr>
              <w:widowControl/>
              <w:spacing w:line="240" w:lineRule="auto"/>
              <w:jc w:val="left"/>
              <w:rPr>
                <w:rFonts w:cs="宋体" w:asciiTheme="minorEastAsia" w:hAnsiTheme="minorEastAsia" w:eastAsiaTheme="minorEastAsia"/>
                <w:b/>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7" w:type="dxa"/>
            <w:vMerge w:val="continue"/>
            <w:vAlign w:val="center"/>
          </w:tcPr>
          <w:p>
            <w:pPr>
              <w:widowControl/>
              <w:spacing w:line="240" w:lineRule="auto"/>
              <w:jc w:val="left"/>
              <w:rPr>
                <w:rFonts w:cs="宋体" w:asciiTheme="minorEastAsia" w:hAnsiTheme="minorEastAsia" w:eastAsiaTheme="minorEastAsia"/>
                <w:b/>
                <w:bCs/>
                <w:color w:val="000000"/>
                <w:kern w:val="0"/>
                <w:sz w:val="18"/>
                <w:szCs w:val="18"/>
              </w:rPr>
            </w:pPr>
          </w:p>
        </w:tc>
        <w:tc>
          <w:tcPr>
            <w:tcW w:w="998" w:type="dxa"/>
            <w:shd w:val="clear" w:color="auto" w:fill="auto"/>
            <w:noWrap/>
            <w:vAlign w:val="center"/>
          </w:tcPr>
          <w:p>
            <w:pPr>
              <w:widowControl/>
              <w:spacing w:line="240" w:lineRule="auto"/>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市、特区、区</w:t>
            </w:r>
          </w:p>
        </w:tc>
        <w:tc>
          <w:tcPr>
            <w:tcW w:w="1843" w:type="dxa"/>
            <w:vMerge w:val="continue"/>
            <w:vAlign w:val="center"/>
          </w:tcPr>
          <w:p>
            <w:pPr>
              <w:widowControl/>
              <w:spacing w:line="240" w:lineRule="auto"/>
              <w:jc w:val="left"/>
              <w:rPr>
                <w:rFonts w:cs="宋体" w:asciiTheme="minorEastAsia" w:hAnsiTheme="minorEastAsia" w:eastAsiaTheme="minorEastAsia"/>
                <w:b/>
                <w:bCs/>
                <w:color w:val="000000"/>
                <w:kern w:val="0"/>
                <w:sz w:val="18"/>
                <w:szCs w:val="18"/>
              </w:rPr>
            </w:pPr>
          </w:p>
        </w:tc>
        <w:tc>
          <w:tcPr>
            <w:tcW w:w="1275" w:type="dxa"/>
            <w:vMerge w:val="continue"/>
            <w:vAlign w:val="center"/>
          </w:tcPr>
          <w:p>
            <w:pPr>
              <w:widowControl/>
              <w:spacing w:line="240" w:lineRule="auto"/>
              <w:jc w:val="left"/>
              <w:rPr>
                <w:rFonts w:cs="宋体" w:asciiTheme="minorEastAsia" w:hAnsiTheme="minorEastAsia" w:eastAsiaTheme="minorEastAsia"/>
                <w:b/>
                <w:bCs/>
                <w:color w:val="000000"/>
                <w:kern w:val="0"/>
                <w:sz w:val="18"/>
                <w:szCs w:val="18"/>
              </w:rPr>
            </w:pPr>
          </w:p>
        </w:tc>
        <w:tc>
          <w:tcPr>
            <w:tcW w:w="993" w:type="dxa"/>
            <w:shd w:val="clear" w:color="auto" w:fill="auto"/>
            <w:vAlign w:val="center"/>
          </w:tcPr>
          <w:p>
            <w:pPr>
              <w:widowControl/>
              <w:spacing w:line="240" w:lineRule="auto"/>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合计</w:t>
            </w:r>
          </w:p>
        </w:tc>
        <w:tc>
          <w:tcPr>
            <w:tcW w:w="850" w:type="dxa"/>
            <w:shd w:val="clear" w:color="auto" w:fill="auto"/>
            <w:vAlign w:val="center"/>
          </w:tcPr>
          <w:p>
            <w:pPr>
              <w:widowControl/>
              <w:spacing w:line="240" w:lineRule="auto"/>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四级</w:t>
            </w:r>
          </w:p>
        </w:tc>
        <w:tc>
          <w:tcPr>
            <w:tcW w:w="992" w:type="dxa"/>
            <w:vAlign w:val="center"/>
          </w:tcPr>
          <w:p>
            <w:pPr>
              <w:widowControl/>
              <w:spacing w:line="240" w:lineRule="auto"/>
              <w:jc w:val="left"/>
              <w:rPr>
                <w:rFonts w:cs="宋体" w:asciiTheme="minorEastAsia" w:hAnsiTheme="minorEastAsia" w:eastAsiaTheme="minorEastAsia"/>
                <w:b/>
                <w:bCs/>
                <w:color w:val="000000"/>
                <w:kern w:val="0"/>
                <w:sz w:val="18"/>
                <w:szCs w:val="18"/>
              </w:rPr>
            </w:pPr>
          </w:p>
        </w:tc>
        <w:tc>
          <w:tcPr>
            <w:tcW w:w="1134" w:type="dxa"/>
            <w:vAlign w:val="center"/>
          </w:tcPr>
          <w:p>
            <w:pPr>
              <w:widowControl/>
              <w:spacing w:line="240" w:lineRule="auto"/>
              <w:jc w:val="left"/>
              <w:rPr>
                <w:rFonts w:cs="宋体" w:asciiTheme="minorEastAsia" w:hAnsiTheme="minorEastAsia" w:eastAsiaTheme="minorEastAsia"/>
                <w:b/>
                <w:bCs/>
                <w:color w:val="000000"/>
                <w:kern w:val="0"/>
                <w:sz w:val="18"/>
                <w:szCs w:val="18"/>
              </w:rPr>
            </w:pPr>
          </w:p>
        </w:tc>
        <w:tc>
          <w:tcPr>
            <w:tcW w:w="1134" w:type="dxa"/>
          </w:tcPr>
          <w:p>
            <w:pPr>
              <w:widowControl/>
              <w:spacing w:line="240" w:lineRule="auto"/>
              <w:jc w:val="center"/>
              <w:rPr>
                <w:rFonts w:cs="宋体" w:asciiTheme="minorEastAsia" w:hAnsiTheme="minorEastAsia" w:eastAsiaTheme="minorEastAsia"/>
                <w:b/>
                <w:bCs/>
                <w:color w:val="000000"/>
                <w:kern w:val="0"/>
                <w:sz w:val="18"/>
                <w:szCs w:val="18"/>
              </w:rPr>
            </w:pPr>
          </w:p>
        </w:tc>
        <w:tc>
          <w:tcPr>
            <w:tcW w:w="851" w:type="dxa"/>
            <w:shd w:val="clear" w:color="auto" w:fill="auto"/>
            <w:vAlign w:val="center"/>
          </w:tcPr>
          <w:p>
            <w:pPr>
              <w:widowControl/>
              <w:spacing w:line="240" w:lineRule="auto"/>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开工年</w:t>
            </w:r>
          </w:p>
        </w:tc>
        <w:tc>
          <w:tcPr>
            <w:tcW w:w="850" w:type="dxa"/>
            <w:shd w:val="clear" w:color="auto" w:fill="auto"/>
            <w:vAlign w:val="center"/>
          </w:tcPr>
          <w:p>
            <w:pPr>
              <w:widowControl/>
              <w:spacing w:line="240" w:lineRule="auto"/>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完工年</w:t>
            </w:r>
          </w:p>
        </w:tc>
        <w:tc>
          <w:tcPr>
            <w:tcW w:w="709" w:type="dxa"/>
            <w:vAlign w:val="center"/>
          </w:tcPr>
          <w:p>
            <w:pPr>
              <w:widowControl/>
              <w:spacing w:line="240" w:lineRule="auto"/>
              <w:jc w:val="left"/>
              <w:rPr>
                <w:rFonts w:cs="宋体" w:asciiTheme="minorEastAsia" w:hAnsiTheme="minorEastAsia" w:eastAsiaTheme="minorEastAsia"/>
                <w:b/>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合计</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　</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　</w:t>
            </w:r>
          </w:p>
        </w:tc>
        <w:tc>
          <w:tcPr>
            <w:tcW w:w="1843" w:type="dxa"/>
            <w:shd w:val="clear" w:color="auto" w:fill="auto"/>
            <w:noWrap/>
            <w:vAlign w:val="center"/>
          </w:tcPr>
          <w:p>
            <w:pPr>
              <w:widowControl/>
              <w:spacing w:line="240" w:lineRule="auto"/>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　</w:t>
            </w:r>
          </w:p>
        </w:tc>
        <w:tc>
          <w:tcPr>
            <w:tcW w:w="1275" w:type="dxa"/>
            <w:shd w:val="clear" w:color="auto" w:fill="auto"/>
            <w:vAlign w:val="center"/>
          </w:tcPr>
          <w:p>
            <w:pPr>
              <w:widowControl/>
              <w:spacing w:line="240" w:lineRule="auto"/>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　</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b/>
                <w:bCs/>
                <w:color w:val="000000"/>
                <w:kern w:val="0"/>
                <w:sz w:val="18"/>
                <w:szCs w:val="18"/>
              </w:rPr>
            </w:pPr>
            <w:r>
              <w:rPr>
                <w:rFonts w:cs="宋体" w:asciiTheme="minorEastAsia" w:hAnsiTheme="minorEastAsia" w:eastAsiaTheme="minorEastAsia"/>
                <w:b/>
                <w:bCs/>
                <w:color w:val="000000"/>
                <w:kern w:val="0"/>
                <w:sz w:val="18"/>
                <w:szCs w:val="18"/>
              </w:rPr>
              <w:t>566.4</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b/>
                <w:bCs/>
                <w:color w:val="000000"/>
                <w:kern w:val="0"/>
                <w:sz w:val="18"/>
                <w:szCs w:val="18"/>
              </w:rPr>
            </w:pPr>
            <w:r>
              <w:rPr>
                <w:rFonts w:cs="宋体" w:asciiTheme="minorEastAsia" w:hAnsiTheme="minorEastAsia" w:eastAsiaTheme="minorEastAsia"/>
                <w:b/>
                <w:bCs/>
                <w:color w:val="000000"/>
                <w:kern w:val="0"/>
                <w:sz w:val="18"/>
                <w:szCs w:val="18"/>
              </w:rPr>
              <w:t>566.4</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b/>
                <w:bCs/>
                <w:color w:val="000000"/>
                <w:kern w:val="0"/>
                <w:sz w:val="18"/>
                <w:szCs w:val="18"/>
              </w:rPr>
            </w:pP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b/>
                <w:bCs/>
                <w:color w:val="000000"/>
                <w:kern w:val="0"/>
                <w:sz w:val="18"/>
                <w:szCs w:val="18"/>
              </w:rPr>
            </w:pPr>
            <w:r>
              <w:rPr>
                <w:rFonts w:cs="宋体" w:asciiTheme="minorEastAsia" w:hAnsiTheme="minorEastAsia" w:eastAsiaTheme="minorEastAsia"/>
                <w:b/>
                <w:bCs/>
                <w:color w:val="000000"/>
                <w:kern w:val="0"/>
                <w:sz w:val="18"/>
                <w:szCs w:val="18"/>
              </w:rPr>
              <w:t>145159.90</w:t>
            </w:r>
          </w:p>
        </w:tc>
        <w:tc>
          <w:tcPr>
            <w:tcW w:w="1134" w:type="dxa"/>
            <w:vAlign w:val="center"/>
          </w:tcPr>
          <w:p>
            <w:pPr>
              <w:widowControl/>
              <w:spacing w:line="240" w:lineRule="auto"/>
              <w:jc w:val="center"/>
              <w:rPr>
                <w:rFonts w:cs="宋体" w:asciiTheme="minorEastAsia" w:hAnsiTheme="minorEastAsia" w:eastAsiaTheme="minorEastAsia"/>
                <w:b/>
                <w:bCs/>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　</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　</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1</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六枝特区</w:t>
            </w:r>
          </w:p>
        </w:tc>
        <w:tc>
          <w:tcPr>
            <w:tcW w:w="184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哪洒村委会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陈家寨至跳水沟</w:t>
            </w:r>
            <w:r>
              <w:rPr>
                <w:rFonts w:hint="eastAsia" w:ascii="宋体" w:hAnsi="宋体" w:cs="宋体"/>
                <w:color w:val="000000"/>
                <w:kern w:val="0"/>
                <w:sz w:val="18"/>
                <w:szCs w:val="18"/>
              </w:rPr>
              <w:t>公路</w:t>
            </w:r>
          </w:p>
        </w:tc>
        <w:tc>
          <w:tcPr>
            <w:tcW w:w="99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1.29</w:t>
            </w:r>
          </w:p>
        </w:tc>
        <w:tc>
          <w:tcPr>
            <w:tcW w:w="850"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1.29</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322.00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5</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6</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大山镇新光村委会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三板桥至瓦窑田</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5.00</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5.00</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1150.00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6</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3</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新民镇扒嘎村委会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长耳朵至羊圈</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8.20</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8.20</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1886.00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5</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w:t>
            </w:r>
            <w:r>
              <w:rPr>
                <w:rFonts w:cs="宋体" w:asciiTheme="minorEastAsia" w:hAnsiTheme="minorEastAsia" w:eastAsiaTheme="minorEastAsia"/>
                <w:color w:val="000000"/>
                <w:kern w:val="0"/>
                <w:sz w:val="18"/>
                <w:szCs w:val="18"/>
              </w:rPr>
              <w:t>26</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4</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盘关镇大白岩村委会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响水至大白岩</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4.70</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4.70</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1081.00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5</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w:t>
            </w:r>
            <w:r>
              <w:rPr>
                <w:rFonts w:cs="宋体" w:asciiTheme="minorEastAsia" w:hAnsiTheme="minorEastAsia" w:eastAsiaTheme="minorEastAsia"/>
                <w:color w:val="000000"/>
                <w:kern w:val="0"/>
                <w:sz w:val="18"/>
                <w:szCs w:val="18"/>
              </w:rPr>
              <w:t>26</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5</w:t>
            </w:r>
          </w:p>
        </w:tc>
        <w:tc>
          <w:tcPr>
            <w:tcW w:w="998"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水城区</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白岩脚村委会、铜厂村委会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白岩至兴河</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4.21</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4.21</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1263.00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5</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w:t>
            </w:r>
            <w:r>
              <w:rPr>
                <w:rFonts w:cs="宋体" w:asciiTheme="minorEastAsia" w:hAnsiTheme="minorEastAsia" w:eastAsiaTheme="minorEastAsia"/>
                <w:color w:val="000000"/>
                <w:kern w:val="0"/>
                <w:sz w:val="18"/>
                <w:szCs w:val="18"/>
              </w:rPr>
              <w:t>26</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6</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钟山区</w:t>
            </w:r>
          </w:p>
        </w:tc>
        <w:tc>
          <w:tcPr>
            <w:tcW w:w="184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新华村委会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以那至大树林</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8.50</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8.50</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5100.00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5</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w:t>
            </w:r>
            <w:r>
              <w:rPr>
                <w:rFonts w:cs="宋体" w:asciiTheme="minorEastAsia" w:hAnsiTheme="minorEastAsia" w:eastAsiaTheme="minorEastAsia"/>
                <w:color w:val="000000"/>
                <w:kern w:val="0"/>
                <w:sz w:val="18"/>
                <w:szCs w:val="18"/>
              </w:rPr>
              <w:t>27</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汪家寨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7</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钟山区</w:t>
            </w:r>
          </w:p>
        </w:tc>
        <w:tc>
          <w:tcPr>
            <w:tcW w:w="184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羊场村</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海坝至永和村</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10.00</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10.00</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6000.00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5</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w:t>
            </w:r>
            <w:r>
              <w:rPr>
                <w:rFonts w:cs="宋体" w:asciiTheme="minorEastAsia" w:hAnsiTheme="minorEastAsia" w:eastAsiaTheme="minorEastAsia"/>
                <w:color w:val="000000"/>
                <w:kern w:val="0"/>
                <w:sz w:val="18"/>
                <w:szCs w:val="18"/>
              </w:rPr>
              <w:t>27</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金盆乡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8</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竹海镇巴达克村委会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阴多丫口至马场</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12.90</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12.90</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2967.00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5</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w:t>
            </w:r>
            <w:r>
              <w:rPr>
                <w:rFonts w:cs="宋体" w:asciiTheme="minorEastAsia" w:hAnsiTheme="minorEastAsia" w:eastAsiaTheme="minorEastAsia"/>
                <w:color w:val="000000"/>
                <w:kern w:val="0"/>
                <w:sz w:val="18"/>
                <w:szCs w:val="18"/>
              </w:rPr>
              <w:t>26</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9</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乌蒙镇俄力科村委会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四格至友谊桥</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22.00</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22.00</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5060.00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5</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w:t>
            </w:r>
            <w:r>
              <w:rPr>
                <w:rFonts w:cs="宋体" w:asciiTheme="minorEastAsia" w:hAnsiTheme="minorEastAsia" w:eastAsiaTheme="minorEastAsia"/>
                <w:color w:val="000000"/>
                <w:kern w:val="0"/>
                <w:sz w:val="18"/>
                <w:szCs w:val="18"/>
              </w:rPr>
              <w:t>26</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10</w:t>
            </w:r>
          </w:p>
        </w:tc>
        <w:tc>
          <w:tcPr>
            <w:tcW w:w="998"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水城区</w:t>
            </w:r>
          </w:p>
        </w:tc>
        <w:tc>
          <w:tcPr>
            <w:tcW w:w="184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坡脚村委会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范家寨至红布</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11.85</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11.85</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3556.20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5</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w:t>
            </w:r>
            <w:r>
              <w:rPr>
                <w:rFonts w:cs="宋体" w:asciiTheme="minorEastAsia" w:hAnsiTheme="minorEastAsia" w:eastAsiaTheme="minorEastAsia"/>
                <w:color w:val="000000"/>
                <w:kern w:val="0"/>
                <w:sz w:val="18"/>
                <w:szCs w:val="18"/>
              </w:rPr>
              <w:t>26</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11</w:t>
            </w:r>
          </w:p>
        </w:tc>
        <w:tc>
          <w:tcPr>
            <w:tcW w:w="998"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水城区</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化启村委会、夺泥村委会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化启至夺泥</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12.54</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12.54</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3763.20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5</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w:t>
            </w:r>
            <w:r>
              <w:rPr>
                <w:rFonts w:cs="宋体" w:asciiTheme="minorEastAsia" w:hAnsiTheme="minorEastAsia" w:eastAsiaTheme="minorEastAsia"/>
                <w:color w:val="000000"/>
                <w:kern w:val="0"/>
                <w:sz w:val="18"/>
                <w:szCs w:val="18"/>
              </w:rPr>
              <w:t>26</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12</w:t>
            </w:r>
          </w:p>
        </w:tc>
        <w:tc>
          <w:tcPr>
            <w:tcW w:w="998"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水城区</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赵家河村委会、土发村委会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土发至赵家河</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10.23</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10.23</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3069.00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5</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w:t>
            </w:r>
            <w:r>
              <w:rPr>
                <w:rFonts w:cs="宋体" w:asciiTheme="minorEastAsia" w:hAnsiTheme="minorEastAsia" w:eastAsiaTheme="minorEastAsia"/>
                <w:color w:val="000000"/>
                <w:kern w:val="0"/>
                <w:sz w:val="18"/>
                <w:szCs w:val="18"/>
              </w:rPr>
              <w:t>26</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13</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六枝特区</w:t>
            </w:r>
          </w:p>
        </w:tc>
        <w:tc>
          <w:tcPr>
            <w:tcW w:w="184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跳花坡村委会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洒志至跳花坡</w:t>
            </w:r>
            <w:r>
              <w:rPr>
                <w:rFonts w:hint="eastAsia" w:ascii="宋体" w:hAnsi="宋体" w:cs="宋体"/>
                <w:color w:val="000000"/>
                <w:kern w:val="0"/>
                <w:sz w:val="18"/>
                <w:szCs w:val="18"/>
              </w:rPr>
              <w:t>公路</w:t>
            </w:r>
          </w:p>
        </w:tc>
        <w:tc>
          <w:tcPr>
            <w:tcW w:w="99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6.44</w:t>
            </w:r>
          </w:p>
        </w:tc>
        <w:tc>
          <w:tcPr>
            <w:tcW w:w="850"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6.44</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1609.25</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5</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w:t>
            </w:r>
            <w:r>
              <w:rPr>
                <w:rFonts w:cs="宋体" w:asciiTheme="minorEastAsia" w:hAnsiTheme="minorEastAsia" w:eastAsiaTheme="minorEastAsia"/>
                <w:color w:val="000000"/>
                <w:kern w:val="0"/>
                <w:sz w:val="18"/>
                <w:szCs w:val="18"/>
              </w:rPr>
              <w:t>26</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14</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六枝特区</w:t>
            </w:r>
          </w:p>
        </w:tc>
        <w:tc>
          <w:tcPr>
            <w:tcW w:w="184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田坝村委会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罗家丫口至小磨卜</w:t>
            </w:r>
            <w:r>
              <w:rPr>
                <w:rFonts w:hint="eastAsia" w:ascii="宋体" w:hAnsi="宋体" w:cs="宋体"/>
                <w:color w:val="000000"/>
                <w:kern w:val="0"/>
                <w:sz w:val="18"/>
                <w:szCs w:val="18"/>
              </w:rPr>
              <w:t>公路</w:t>
            </w:r>
          </w:p>
        </w:tc>
        <w:tc>
          <w:tcPr>
            <w:tcW w:w="99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12.13</w:t>
            </w:r>
          </w:p>
        </w:tc>
        <w:tc>
          <w:tcPr>
            <w:tcW w:w="850"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12.13</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3032.00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5</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w:t>
            </w:r>
            <w:r>
              <w:rPr>
                <w:rFonts w:cs="宋体" w:asciiTheme="minorEastAsia" w:hAnsiTheme="minorEastAsia" w:eastAsiaTheme="minorEastAsia"/>
                <w:color w:val="000000"/>
                <w:kern w:val="0"/>
                <w:sz w:val="18"/>
                <w:szCs w:val="18"/>
              </w:rPr>
              <w:t>26</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15</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六枝特区</w:t>
            </w:r>
          </w:p>
        </w:tc>
        <w:tc>
          <w:tcPr>
            <w:tcW w:w="184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木厂村委会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索考至木厂</w:t>
            </w:r>
            <w:r>
              <w:rPr>
                <w:rFonts w:hint="eastAsia" w:ascii="宋体" w:hAnsi="宋体" w:cs="宋体"/>
                <w:color w:val="000000"/>
                <w:kern w:val="0"/>
                <w:sz w:val="18"/>
                <w:szCs w:val="18"/>
              </w:rPr>
              <w:t>公路</w:t>
            </w:r>
          </w:p>
        </w:tc>
        <w:tc>
          <w:tcPr>
            <w:tcW w:w="99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7.14</w:t>
            </w:r>
          </w:p>
        </w:tc>
        <w:tc>
          <w:tcPr>
            <w:tcW w:w="850"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7.14</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1785.75</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5</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w:t>
            </w:r>
            <w:r>
              <w:rPr>
                <w:rFonts w:cs="宋体" w:asciiTheme="minorEastAsia" w:hAnsiTheme="minorEastAsia" w:eastAsiaTheme="minorEastAsia"/>
                <w:color w:val="000000"/>
                <w:kern w:val="0"/>
                <w:sz w:val="18"/>
                <w:szCs w:val="18"/>
              </w:rPr>
              <w:t>26</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16</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响水镇丫基村委会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平子头至丫基</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5.62</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5.62</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1291.68</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5</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w:t>
            </w:r>
            <w:r>
              <w:rPr>
                <w:rFonts w:cs="宋体" w:asciiTheme="minorEastAsia" w:hAnsiTheme="minorEastAsia" w:eastAsiaTheme="minorEastAsia"/>
                <w:color w:val="000000"/>
                <w:kern w:val="0"/>
                <w:sz w:val="18"/>
                <w:szCs w:val="18"/>
              </w:rPr>
              <w:t>26</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17</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民主镇砂厂村委会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民主丫口至锅底塘</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10.27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10.27</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2362.10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5</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w:t>
            </w:r>
            <w:r>
              <w:rPr>
                <w:rFonts w:cs="宋体" w:asciiTheme="minorEastAsia" w:hAnsiTheme="minorEastAsia" w:eastAsiaTheme="minorEastAsia"/>
                <w:color w:val="000000"/>
                <w:kern w:val="0"/>
                <w:sz w:val="18"/>
                <w:szCs w:val="18"/>
              </w:rPr>
              <w:t>26</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18</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新民镇雨那村委会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雨那至羊圈</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3.60</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3.60</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828.00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5</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w:t>
            </w:r>
            <w:r>
              <w:rPr>
                <w:rFonts w:cs="宋体" w:asciiTheme="minorEastAsia" w:hAnsiTheme="minorEastAsia" w:eastAsiaTheme="minorEastAsia"/>
                <w:color w:val="000000"/>
                <w:kern w:val="0"/>
                <w:sz w:val="18"/>
                <w:szCs w:val="18"/>
              </w:rPr>
              <w:t>26</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19</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柏果镇堕丘村委会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顺场至堕丘</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4.20</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4.20</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966.00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5</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w:t>
            </w:r>
            <w:r>
              <w:rPr>
                <w:rFonts w:cs="宋体" w:asciiTheme="minorEastAsia" w:hAnsiTheme="minorEastAsia" w:eastAsiaTheme="minorEastAsia"/>
                <w:color w:val="000000"/>
                <w:kern w:val="0"/>
                <w:sz w:val="18"/>
                <w:szCs w:val="18"/>
              </w:rPr>
              <w:t>26</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柏果镇煤炭沟村委会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坉脚至鱼塘寨</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7.80</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7.80</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1794.00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5</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w:t>
            </w:r>
            <w:r>
              <w:rPr>
                <w:rFonts w:cs="宋体" w:asciiTheme="minorEastAsia" w:hAnsiTheme="minorEastAsia" w:eastAsiaTheme="minorEastAsia"/>
                <w:color w:val="000000"/>
                <w:kern w:val="0"/>
                <w:sz w:val="18"/>
                <w:szCs w:val="18"/>
              </w:rPr>
              <w:t>26</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21</w:t>
            </w:r>
          </w:p>
        </w:tc>
        <w:tc>
          <w:tcPr>
            <w:tcW w:w="998"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水城区</w:t>
            </w:r>
          </w:p>
        </w:tc>
        <w:tc>
          <w:tcPr>
            <w:tcW w:w="184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黄草坝村委会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拉坝至茨冲</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10.49</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10.49</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3147.00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5</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w:t>
            </w:r>
            <w:r>
              <w:rPr>
                <w:rFonts w:cs="宋体" w:asciiTheme="minorEastAsia" w:hAnsiTheme="minorEastAsia" w:eastAsiaTheme="minorEastAsia"/>
                <w:color w:val="000000"/>
                <w:kern w:val="0"/>
                <w:sz w:val="18"/>
                <w:szCs w:val="18"/>
              </w:rPr>
              <w:t>26</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22</w:t>
            </w:r>
          </w:p>
        </w:tc>
        <w:tc>
          <w:tcPr>
            <w:tcW w:w="998"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水城区</w:t>
            </w:r>
          </w:p>
        </w:tc>
        <w:tc>
          <w:tcPr>
            <w:tcW w:w="184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齐心村委会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齐星至箐口</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7.90</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7.90</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2369.70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5</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w:t>
            </w:r>
            <w:r>
              <w:rPr>
                <w:rFonts w:cs="宋体" w:asciiTheme="minorEastAsia" w:hAnsiTheme="minorEastAsia" w:eastAsiaTheme="minorEastAsia"/>
                <w:color w:val="000000"/>
                <w:kern w:val="0"/>
                <w:sz w:val="18"/>
                <w:szCs w:val="18"/>
              </w:rPr>
              <w:t>26</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23</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盘关镇韭菜坪村委会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花木树至红岩</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10.30</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10.30</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2369.00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5</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w:t>
            </w:r>
            <w:r>
              <w:rPr>
                <w:rFonts w:cs="宋体" w:asciiTheme="minorEastAsia" w:hAnsiTheme="minorEastAsia" w:eastAsiaTheme="minorEastAsia"/>
                <w:color w:val="000000"/>
                <w:kern w:val="0"/>
                <w:sz w:val="18"/>
                <w:szCs w:val="18"/>
              </w:rPr>
              <w:t>26</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24</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盘关镇水银厂村委会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大山村至瓦厂头</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6.20</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6.20</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1426.00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5</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w:t>
            </w:r>
            <w:r>
              <w:rPr>
                <w:rFonts w:cs="宋体" w:asciiTheme="minorEastAsia" w:hAnsiTheme="minorEastAsia" w:eastAsiaTheme="minorEastAsia"/>
                <w:color w:val="000000"/>
                <w:kern w:val="0"/>
                <w:sz w:val="18"/>
                <w:szCs w:val="18"/>
              </w:rPr>
              <w:t>26</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25</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盘关镇向阳村委会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洒米田至长山丫口</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5.00</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5.00</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1150.00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5</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w:t>
            </w:r>
            <w:r>
              <w:rPr>
                <w:rFonts w:cs="宋体" w:asciiTheme="minorEastAsia" w:hAnsiTheme="minorEastAsia" w:eastAsiaTheme="minorEastAsia"/>
                <w:color w:val="000000"/>
                <w:kern w:val="0"/>
                <w:sz w:val="18"/>
                <w:szCs w:val="18"/>
              </w:rPr>
              <w:t>26</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26</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石桥镇黑坎村委会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迤腊至鲁番</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8.10</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8.10</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1863.00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5</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w:t>
            </w:r>
            <w:r>
              <w:rPr>
                <w:rFonts w:cs="宋体" w:asciiTheme="minorEastAsia" w:hAnsiTheme="minorEastAsia" w:eastAsiaTheme="minorEastAsia"/>
                <w:color w:val="000000"/>
                <w:kern w:val="0"/>
                <w:sz w:val="18"/>
                <w:szCs w:val="18"/>
              </w:rPr>
              <w:t>26</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27</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竹海镇落迁村委会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黄家寨至白岩</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5.30</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5.30</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1219.00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6</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28</w:t>
            </w:r>
          </w:p>
        </w:tc>
        <w:tc>
          <w:tcPr>
            <w:tcW w:w="998"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水城区</w:t>
            </w:r>
          </w:p>
        </w:tc>
        <w:tc>
          <w:tcPr>
            <w:tcW w:w="184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甘塘村委会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森林公园至甘塘</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5.39</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5.39</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1617.00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5</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w:t>
            </w:r>
            <w:r>
              <w:rPr>
                <w:rFonts w:cs="宋体" w:asciiTheme="minorEastAsia" w:hAnsiTheme="minorEastAsia" w:eastAsiaTheme="minorEastAsia"/>
                <w:color w:val="000000"/>
                <w:kern w:val="0"/>
                <w:sz w:val="18"/>
                <w:szCs w:val="18"/>
              </w:rPr>
              <w:t>26</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29</w:t>
            </w:r>
          </w:p>
        </w:tc>
        <w:tc>
          <w:tcPr>
            <w:tcW w:w="998"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水城区</w:t>
            </w:r>
          </w:p>
        </w:tc>
        <w:tc>
          <w:tcPr>
            <w:tcW w:w="184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石头寨村委会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法那至金龙</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7.35</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7.35</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2204.70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5</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w:t>
            </w:r>
            <w:r>
              <w:rPr>
                <w:rFonts w:cs="宋体" w:asciiTheme="minorEastAsia" w:hAnsiTheme="minorEastAsia" w:eastAsiaTheme="minorEastAsia"/>
                <w:color w:val="000000"/>
                <w:kern w:val="0"/>
                <w:sz w:val="18"/>
                <w:szCs w:val="18"/>
              </w:rPr>
              <w:t>26</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30</w:t>
            </w:r>
          </w:p>
        </w:tc>
        <w:tc>
          <w:tcPr>
            <w:tcW w:w="998"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水城区</w:t>
            </w:r>
          </w:p>
        </w:tc>
        <w:tc>
          <w:tcPr>
            <w:tcW w:w="184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戈波村委会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炸药库至耿家寨</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6.58</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6.58</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1973.40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5</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w:t>
            </w:r>
            <w:r>
              <w:rPr>
                <w:rFonts w:cs="宋体" w:asciiTheme="minorEastAsia" w:hAnsiTheme="minorEastAsia" w:eastAsiaTheme="minorEastAsia"/>
                <w:color w:val="000000"/>
                <w:kern w:val="0"/>
                <w:sz w:val="18"/>
                <w:szCs w:val="18"/>
              </w:rPr>
              <w:t>26</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31</w:t>
            </w:r>
          </w:p>
        </w:tc>
        <w:tc>
          <w:tcPr>
            <w:tcW w:w="998"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水城区</w:t>
            </w:r>
          </w:p>
        </w:tc>
        <w:tc>
          <w:tcPr>
            <w:tcW w:w="184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麻窝村委会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龙场至麻窝</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6.67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6.67</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2000.70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5</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w:t>
            </w:r>
            <w:r>
              <w:rPr>
                <w:rFonts w:cs="宋体" w:asciiTheme="minorEastAsia" w:hAnsiTheme="minorEastAsia" w:eastAsiaTheme="minorEastAsia"/>
                <w:color w:val="000000"/>
                <w:kern w:val="0"/>
                <w:sz w:val="18"/>
                <w:szCs w:val="18"/>
              </w:rPr>
              <w:t>26</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32</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大山镇松山村委会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新寨至盘南园区</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7.40</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7.40</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1702.00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6</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33</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鸡场坪镇椅棋村、石头河村、中屯村、羊场乡高光村</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柏果至羊场</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10.00</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10.00</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2300.00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6</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34</w:t>
            </w:r>
          </w:p>
        </w:tc>
        <w:tc>
          <w:tcPr>
            <w:tcW w:w="998"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水城区</w:t>
            </w:r>
          </w:p>
        </w:tc>
        <w:tc>
          <w:tcPr>
            <w:tcW w:w="184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发堤村委会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肖家寨至大寨</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7.07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7.07</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2121.60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6</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35</w:t>
            </w:r>
          </w:p>
        </w:tc>
        <w:tc>
          <w:tcPr>
            <w:tcW w:w="998"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水城区</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天门村委会、吴王村委会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吴王至天门</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6.19</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6.19</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1856.70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6</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36</w:t>
            </w:r>
          </w:p>
        </w:tc>
        <w:tc>
          <w:tcPr>
            <w:tcW w:w="998"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水城区</w:t>
            </w:r>
          </w:p>
        </w:tc>
        <w:tc>
          <w:tcPr>
            <w:tcW w:w="184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新街村委会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新街至新街村</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4.11</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4.11</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1232.40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6</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37</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乌蒙镇水塘村、大寨村</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毛家河至八担山</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8.00</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8.00</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1840.00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8</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38</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坪地彝族乡洒克梅村委会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沙克梅村小学至格底科</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10.00</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10.00</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2300.00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8</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39</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羊场布依族白族苗族乡红花湾村委会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化家庄至沈家垭口</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7.00</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7.00</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1610.00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8</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40</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旧营白族彝族苗族乡红花村委会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旧营至上杨松</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10.00</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10.00</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2300.00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8</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41</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羊场布依族白族苗族乡海兴村委会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下午至海兴</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5.00</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5.00</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1150.00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8</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42</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普古彝族苗族乡七宜克村委会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塘边至普古</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11.00</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11.00</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2530.00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8</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4</w:t>
            </w:r>
            <w:r>
              <w:rPr>
                <w:rFonts w:cs="宋体" w:asciiTheme="minorEastAsia" w:hAnsiTheme="minorEastAsia" w:eastAsiaTheme="minorEastAsia"/>
                <w:color w:val="000000"/>
                <w:kern w:val="0"/>
                <w:sz w:val="18"/>
                <w:szCs w:val="18"/>
              </w:rPr>
              <w:t>3</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六枝特区</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黄平村委会</w:t>
            </w:r>
          </w:p>
        </w:tc>
        <w:tc>
          <w:tcPr>
            <w:tcW w:w="1275"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代家包至乐基</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9</w:t>
            </w:r>
            <w:r>
              <w:rPr>
                <w:rFonts w:cs="宋体" w:asciiTheme="minorEastAsia" w:hAnsiTheme="minorEastAsia" w:eastAsiaTheme="minorEastAsia"/>
                <w:color w:val="000000"/>
                <w:kern w:val="0"/>
                <w:sz w:val="18"/>
                <w:szCs w:val="18"/>
              </w:rPr>
              <w:t>.112</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9</w:t>
            </w:r>
            <w:r>
              <w:rPr>
                <w:rFonts w:cs="宋体" w:asciiTheme="minorEastAsia" w:hAnsiTheme="minorEastAsia" w:eastAsiaTheme="minorEastAsia"/>
                <w:color w:val="000000"/>
                <w:kern w:val="0"/>
                <w:sz w:val="18"/>
                <w:szCs w:val="18"/>
              </w:rPr>
              <w:t>.112</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2278</w:t>
            </w:r>
            <w:r>
              <w:rPr>
                <w:rFonts w:hint="eastAsia" w:cs="宋体" w:asciiTheme="minorEastAsia" w:hAnsiTheme="minorEastAsia" w:eastAsiaTheme="minorEastAsia"/>
                <w:color w:val="000000"/>
                <w:kern w:val="0"/>
                <w:sz w:val="18"/>
                <w:szCs w:val="18"/>
              </w:rPr>
              <w:t>．0</w:t>
            </w:r>
            <w:r>
              <w:rPr>
                <w:rFonts w:cs="宋体" w:asciiTheme="minorEastAsia" w:hAnsiTheme="minorEastAsia" w:eastAsiaTheme="minorEastAsia"/>
                <w:color w:val="000000"/>
                <w:kern w:val="0"/>
                <w:sz w:val="18"/>
                <w:szCs w:val="18"/>
              </w:rPr>
              <w:t>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8</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4</w:t>
            </w:r>
            <w:r>
              <w:rPr>
                <w:rFonts w:cs="宋体" w:asciiTheme="minorEastAsia" w:hAnsiTheme="minorEastAsia" w:eastAsiaTheme="minorEastAsia"/>
                <w:color w:val="000000"/>
                <w:kern w:val="0"/>
                <w:sz w:val="18"/>
                <w:szCs w:val="18"/>
              </w:rPr>
              <w:t>4</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六枝特区</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嘎龙塘村委会</w:t>
            </w:r>
          </w:p>
        </w:tc>
        <w:tc>
          <w:tcPr>
            <w:tcW w:w="1275" w:type="dxa"/>
            <w:shd w:val="clear" w:color="auto" w:fill="auto"/>
            <w:vAlign w:val="center"/>
          </w:tcPr>
          <w:p>
            <w:pPr>
              <w:widowControl/>
              <w:spacing w:line="240" w:lineRule="auto"/>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木岗至嘎陇塘</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4</w:t>
            </w:r>
            <w:r>
              <w:rPr>
                <w:rFonts w:cs="宋体" w:asciiTheme="minorEastAsia" w:hAnsiTheme="minorEastAsia" w:eastAsiaTheme="minorEastAsia"/>
                <w:color w:val="000000"/>
                <w:kern w:val="0"/>
                <w:sz w:val="18"/>
                <w:szCs w:val="18"/>
              </w:rPr>
              <w:t>.745</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4</w:t>
            </w:r>
            <w:r>
              <w:rPr>
                <w:rFonts w:cs="宋体" w:asciiTheme="minorEastAsia" w:hAnsiTheme="minorEastAsia" w:eastAsiaTheme="minorEastAsia"/>
                <w:color w:val="000000"/>
                <w:kern w:val="0"/>
                <w:sz w:val="18"/>
                <w:szCs w:val="18"/>
              </w:rPr>
              <w:t>.745</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1186.25</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8</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4</w:t>
            </w:r>
            <w:r>
              <w:rPr>
                <w:rFonts w:cs="宋体" w:asciiTheme="minorEastAsia" w:hAnsiTheme="minorEastAsia" w:eastAsiaTheme="minorEastAsia"/>
                <w:color w:val="000000"/>
                <w:kern w:val="0"/>
                <w:sz w:val="18"/>
                <w:szCs w:val="18"/>
              </w:rPr>
              <w:t>5</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六枝特区</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小补王村委会</w:t>
            </w:r>
          </w:p>
        </w:tc>
        <w:tc>
          <w:tcPr>
            <w:tcW w:w="1275" w:type="dxa"/>
            <w:shd w:val="clear" w:color="auto" w:fill="auto"/>
            <w:vAlign w:val="center"/>
          </w:tcPr>
          <w:p>
            <w:pPr>
              <w:widowControl/>
              <w:spacing w:line="240" w:lineRule="auto"/>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中寨至小补王</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9</w:t>
            </w:r>
            <w:r>
              <w:rPr>
                <w:rFonts w:cs="宋体" w:asciiTheme="minorEastAsia" w:hAnsiTheme="minorEastAsia" w:eastAsiaTheme="minorEastAsia"/>
                <w:color w:val="000000"/>
                <w:kern w:val="0"/>
                <w:sz w:val="18"/>
                <w:szCs w:val="18"/>
              </w:rPr>
              <w:t>.829</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9</w:t>
            </w:r>
            <w:r>
              <w:rPr>
                <w:rFonts w:cs="宋体" w:asciiTheme="minorEastAsia" w:hAnsiTheme="minorEastAsia" w:eastAsiaTheme="minorEastAsia"/>
                <w:color w:val="000000"/>
                <w:kern w:val="0"/>
                <w:sz w:val="18"/>
                <w:szCs w:val="18"/>
              </w:rPr>
              <w:t>.829</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6.50</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2457.25</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8</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46</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民主镇滥摊村委会、李子树村委会、响水镇岔河村委会</w:t>
            </w:r>
          </w:p>
        </w:tc>
        <w:tc>
          <w:tcPr>
            <w:tcW w:w="1275" w:type="dxa"/>
            <w:shd w:val="clear" w:color="auto" w:fill="auto"/>
            <w:vAlign w:val="center"/>
          </w:tcPr>
          <w:p>
            <w:pPr>
              <w:widowControl/>
              <w:spacing w:line="240" w:lineRule="auto"/>
              <w:rPr>
                <w:rFonts w:cs="宋体" w:asciiTheme="minorEastAsia" w:hAnsiTheme="minorEastAsia" w:eastAsiaTheme="minorEastAsia"/>
                <w:color w:val="000000"/>
                <w:kern w:val="0"/>
                <w:sz w:val="18"/>
                <w:szCs w:val="18"/>
              </w:rPr>
            </w:pPr>
            <w:r>
              <w:rPr>
                <w:rFonts w:hint="eastAsia"/>
                <w:color w:val="000000"/>
                <w:sz w:val="18"/>
                <w:szCs w:val="18"/>
              </w:rPr>
              <w:t>滑石板至威箐（滇黔界）</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11</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11</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6.5</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2530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8</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47</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坪地彝族乡上述格村委会</w:t>
            </w:r>
          </w:p>
        </w:tc>
        <w:tc>
          <w:tcPr>
            <w:tcW w:w="1275" w:type="dxa"/>
            <w:shd w:val="clear" w:color="auto" w:fill="auto"/>
            <w:vAlign w:val="center"/>
          </w:tcPr>
          <w:p>
            <w:pPr>
              <w:widowControl/>
              <w:spacing w:line="240" w:lineRule="auto"/>
              <w:rPr>
                <w:rFonts w:cs="宋体" w:asciiTheme="minorEastAsia" w:hAnsiTheme="minorEastAsia" w:eastAsiaTheme="minorEastAsia"/>
                <w:color w:val="000000"/>
                <w:kern w:val="0"/>
                <w:sz w:val="18"/>
                <w:szCs w:val="18"/>
              </w:rPr>
            </w:pPr>
            <w:r>
              <w:rPr>
                <w:rFonts w:hint="eastAsia"/>
                <w:color w:val="000000"/>
                <w:sz w:val="18"/>
                <w:szCs w:val="18"/>
              </w:rPr>
              <w:t>蒋底至启古</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9</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9</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6.5</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2070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8</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48</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盘关镇茅坪村委会、柏果镇深沟村委会</w:t>
            </w:r>
          </w:p>
        </w:tc>
        <w:tc>
          <w:tcPr>
            <w:tcW w:w="1275" w:type="dxa"/>
            <w:shd w:val="clear" w:color="auto" w:fill="auto"/>
            <w:vAlign w:val="center"/>
          </w:tcPr>
          <w:p>
            <w:pPr>
              <w:widowControl/>
              <w:spacing w:line="240" w:lineRule="auto"/>
              <w:rPr>
                <w:rFonts w:cs="宋体" w:asciiTheme="minorEastAsia" w:hAnsiTheme="minorEastAsia" w:eastAsiaTheme="minorEastAsia"/>
                <w:color w:val="000000"/>
                <w:kern w:val="0"/>
                <w:sz w:val="18"/>
                <w:szCs w:val="18"/>
              </w:rPr>
            </w:pPr>
            <w:r>
              <w:rPr>
                <w:rFonts w:hint="eastAsia"/>
                <w:color w:val="000000"/>
                <w:sz w:val="18"/>
                <w:szCs w:val="18"/>
              </w:rPr>
              <w:t>关口至被拉</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13</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13</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6.5</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2990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8</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49</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淤泥彝族乡罗多村委会、淤泥彝族乡清水村委会、淤泥彝族乡嘿白村委会、普古彝族苗族乡厂上村委会</w:t>
            </w:r>
          </w:p>
        </w:tc>
        <w:tc>
          <w:tcPr>
            <w:tcW w:w="1275" w:type="dxa"/>
            <w:shd w:val="clear" w:color="auto" w:fill="auto"/>
            <w:vAlign w:val="center"/>
          </w:tcPr>
          <w:p>
            <w:pPr>
              <w:widowControl/>
              <w:spacing w:line="240" w:lineRule="auto"/>
              <w:rPr>
                <w:rFonts w:cs="宋体" w:asciiTheme="minorEastAsia" w:hAnsiTheme="minorEastAsia" w:eastAsiaTheme="minorEastAsia"/>
                <w:color w:val="000000"/>
                <w:kern w:val="0"/>
                <w:sz w:val="18"/>
                <w:szCs w:val="18"/>
              </w:rPr>
            </w:pPr>
            <w:r>
              <w:rPr>
                <w:rFonts w:hint="eastAsia"/>
                <w:color w:val="000000"/>
                <w:sz w:val="18"/>
                <w:szCs w:val="18"/>
              </w:rPr>
              <w:t>大坪地至嘎木</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34</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34</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6.5</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7820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8</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4"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50</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保基苗族彝族乡风座村委会、羊场布依族白族苗族乡徐寨村委会</w:t>
            </w:r>
          </w:p>
        </w:tc>
        <w:tc>
          <w:tcPr>
            <w:tcW w:w="1275" w:type="dxa"/>
            <w:shd w:val="clear" w:color="auto" w:fill="auto"/>
            <w:vAlign w:val="center"/>
          </w:tcPr>
          <w:p>
            <w:pPr>
              <w:widowControl/>
              <w:spacing w:line="240" w:lineRule="auto"/>
              <w:rPr>
                <w:rFonts w:cs="宋体" w:asciiTheme="minorEastAsia" w:hAnsiTheme="minorEastAsia" w:eastAsiaTheme="minorEastAsia"/>
                <w:color w:val="000000"/>
                <w:kern w:val="0"/>
                <w:sz w:val="18"/>
                <w:szCs w:val="18"/>
              </w:rPr>
            </w:pPr>
            <w:r>
              <w:rPr>
                <w:rFonts w:hint="eastAsia"/>
                <w:color w:val="000000"/>
                <w:sz w:val="18"/>
                <w:szCs w:val="18"/>
              </w:rPr>
              <w:t>九村林场至小卧罗</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13</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13</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6.5</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2990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8</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51</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旧营白族彝族苗族乡海马珠村委会</w:t>
            </w:r>
          </w:p>
        </w:tc>
        <w:tc>
          <w:tcPr>
            <w:tcW w:w="1275" w:type="dxa"/>
            <w:shd w:val="clear" w:color="auto" w:fill="auto"/>
            <w:vAlign w:val="center"/>
          </w:tcPr>
          <w:p>
            <w:pPr>
              <w:widowControl/>
              <w:spacing w:line="240" w:lineRule="auto"/>
              <w:rPr>
                <w:rFonts w:cs="宋体" w:asciiTheme="minorEastAsia" w:hAnsiTheme="minorEastAsia" w:eastAsiaTheme="minorEastAsia"/>
                <w:color w:val="000000"/>
                <w:kern w:val="0"/>
                <w:sz w:val="18"/>
                <w:szCs w:val="18"/>
              </w:rPr>
            </w:pPr>
            <w:r>
              <w:rPr>
                <w:rFonts w:hint="eastAsia"/>
                <w:color w:val="000000"/>
                <w:sz w:val="18"/>
                <w:szCs w:val="18"/>
              </w:rPr>
              <w:t>胡家院子至田家湾</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10</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10</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6.5</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2300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8</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52</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 xml:space="preserve"> 刘官街道高官居委会、刘官街道淹五寨居委会</w:t>
            </w:r>
          </w:p>
        </w:tc>
        <w:tc>
          <w:tcPr>
            <w:tcW w:w="1275" w:type="dxa"/>
            <w:shd w:val="clear" w:color="auto" w:fill="auto"/>
            <w:vAlign w:val="center"/>
          </w:tcPr>
          <w:p>
            <w:pPr>
              <w:widowControl/>
              <w:spacing w:line="240" w:lineRule="auto"/>
              <w:rPr>
                <w:rFonts w:cs="宋体" w:asciiTheme="minorEastAsia" w:hAnsiTheme="minorEastAsia" w:eastAsiaTheme="minorEastAsia"/>
                <w:color w:val="000000"/>
                <w:kern w:val="0"/>
                <w:sz w:val="18"/>
                <w:szCs w:val="18"/>
              </w:rPr>
            </w:pPr>
            <w:r>
              <w:rPr>
                <w:rFonts w:hint="eastAsia"/>
                <w:color w:val="000000"/>
                <w:sz w:val="18"/>
                <w:szCs w:val="18"/>
              </w:rPr>
              <w:t>高官屯至候场屯</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7</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8.5</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1610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8</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53</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双凤镇小坪地村委会</w:t>
            </w:r>
          </w:p>
        </w:tc>
        <w:tc>
          <w:tcPr>
            <w:tcW w:w="1275" w:type="dxa"/>
            <w:shd w:val="clear" w:color="auto" w:fill="auto"/>
            <w:vAlign w:val="center"/>
          </w:tcPr>
          <w:p>
            <w:pPr>
              <w:widowControl/>
              <w:spacing w:line="240" w:lineRule="auto"/>
              <w:rPr>
                <w:rFonts w:cs="宋体" w:asciiTheme="minorEastAsia" w:hAnsiTheme="minorEastAsia" w:eastAsiaTheme="minorEastAsia"/>
                <w:color w:val="000000"/>
                <w:kern w:val="0"/>
                <w:sz w:val="18"/>
                <w:szCs w:val="18"/>
              </w:rPr>
            </w:pPr>
            <w:r>
              <w:rPr>
                <w:rFonts w:hint="eastAsia"/>
                <w:color w:val="000000"/>
                <w:sz w:val="18"/>
                <w:szCs w:val="18"/>
              </w:rPr>
              <w:t>城溪至南板桥</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14</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14</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6.5</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3220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8</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54</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竹海镇海子村委会</w:t>
            </w:r>
          </w:p>
        </w:tc>
        <w:tc>
          <w:tcPr>
            <w:tcW w:w="1275" w:type="dxa"/>
            <w:shd w:val="clear" w:color="auto" w:fill="auto"/>
            <w:vAlign w:val="center"/>
          </w:tcPr>
          <w:p>
            <w:pPr>
              <w:widowControl/>
              <w:spacing w:line="240" w:lineRule="auto"/>
              <w:rPr>
                <w:rFonts w:cs="宋体" w:asciiTheme="minorEastAsia" w:hAnsiTheme="minorEastAsia" w:eastAsiaTheme="minorEastAsia"/>
                <w:color w:val="000000"/>
                <w:kern w:val="0"/>
                <w:sz w:val="18"/>
                <w:szCs w:val="18"/>
              </w:rPr>
            </w:pPr>
            <w:r>
              <w:rPr>
                <w:rFonts w:hint="eastAsia"/>
                <w:color w:val="000000"/>
                <w:sz w:val="18"/>
                <w:szCs w:val="18"/>
              </w:rPr>
              <w:t>老牛场至下俩姑</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7</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6.5</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1610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8</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55</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丹霞镇沙地坡村委会</w:t>
            </w:r>
          </w:p>
        </w:tc>
        <w:tc>
          <w:tcPr>
            <w:tcW w:w="1275" w:type="dxa"/>
            <w:shd w:val="clear" w:color="auto" w:fill="auto"/>
            <w:vAlign w:val="center"/>
          </w:tcPr>
          <w:p>
            <w:pPr>
              <w:widowControl/>
              <w:spacing w:line="240" w:lineRule="auto"/>
              <w:rPr>
                <w:rFonts w:cs="宋体" w:asciiTheme="minorEastAsia" w:hAnsiTheme="minorEastAsia" w:eastAsiaTheme="minorEastAsia"/>
                <w:color w:val="000000"/>
                <w:kern w:val="0"/>
                <w:sz w:val="18"/>
                <w:szCs w:val="18"/>
              </w:rPr>
            </w:pPr>
            <w:r>
              <w:rPr>
                <w:rFonts w:hint="eastAsia"/>
                <w:color w:val="000000"/>
                <w:sz w:val="18"/>
                <w:szCs w:val="18"/>
              </w:rPr>
              <w:t>白石岩至妥乐</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8</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8</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6.5</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1840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8</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56</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竹海镇色绿村委会</w:t>
            </w:r>
          </w:p>
        </w:tc>
        <w:tc>
          <w:tcPr>
            <w:tcW w:w="1275" w:type="dxa"/>
            <w:shd w:val="clear" w:color="auto" w:fill="auto"/>
            <w:vAlign w:val="center"/>
          </w:tcPr>
          <w:p>
            <w:pPr>
              <w:widowControl/>
              <w:spacing w:line="240" w:lineRule="auto"/>
              <w:rPr>
                <w:rFonts w:cs="宋体" w:asciiTheme="minorEastAsia" w:hAnsiTheme="minorEastAsia" w:eastAsiaTheme="minorEastAsia"/>
                <w:color w:val="000000"/>
                <w:kern w:val="0"/>
                <w:sz w:val="18"/>
                <w:szCs w:val="18"/>
              </w:rPr>
            </w:pPr>
            <w:r>
              <w:rPr>
                <w:rFonts w:hint="eastAsia"/>
                <w:color w:val="000000"/>
                <w:sz w:val="18"/>
                <w:szCs w:val="18"/>
              </w:rPr>
              <w:t>岔河至色绿</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1</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1</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6.5</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230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8</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57</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大山镇皂角树村委会</w:t>
            </w:r>
          </w:p>
        </w:tc>
        <w:tc>
          <w:tcPr>
            <w:tcW w:w="1275" w:type="dxa"/>
            <w:shd w:val="clear" w:color="auto" w:fill="auto"/>
            <w:vAlign w:val="center"/>
          </w:tcPr>
          <w:p>
            <w:pPr>
              <w:widowControl/>
              <w:spacing w:line="240" w:lineRule="auto"/>
              <w:rPr>
                <w:rFonts w:cs="宋体" w:asciiTheme="minorEastAsia" w:hAnsiTheme="minorEastAsia" w:eastAsiaTheme="minorEastAsia"/>
                <w:color w:val="000000"/>
                <w:kern w:val="0"/>
                <w:sz w:val="18"/>
                <w:szCs w:val="18"/>
              </w:rPr>
            </w:pPr>
            <w:r>
              <w:rPr>
                <w:rFonts w:hint="eastAsia"/>
                <w:color w:val="000000"/>
                <w:sz w:val="18"/>
                <w:szCs w:val="18"/>
              </w:rPr>
              <w:t>龚家湾至下坝</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15</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15</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6.5</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3450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8</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58</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石桥镇香田村委会</w:t>
            </w:r>
          </w:p>
        </w:tc>
        <w:tc>
          <w:tcPr>
            <w:tcW w:w="1275" w:type="dxa"/>
            <w:shd w:val="clear" w:color="auto" w:fill="auto"/>
            <w:vAlign w:val="center"/>
          </w:tcPr>
          <w:p>
            <w:pPr>
              <w:widowControl/>
              <w:spacing w:line="240" w:lineRule="auto"/>
              <w:rPr>
                <w:rFonts w:cs="宋体" w:asciiTheme="minorEastAsia" w:hAnsiTheme="minorEastAsia" w:eastAsiaTheme="minorEastAsia"/>
                <w:color w:val="000000"/>
                <w:kern w:val="0"/>
                <w:sz w:val="18"/>
                <w:szCs w:val="18"/>
              </w:rPr>
            </w:pPr>
            <w:r>
              <w:rPr>
                <w:rFonts w:hint="eastAsia"/>
                <w:color w:val="000000"/>
                <w:sz w:val="18"/>
                <w:szCs w:val="18"/>
              </w:rPr>
              <w:t>鲁番村至岩脚</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6</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6</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6.5</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1380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8</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59</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石桥镇黑坎村委会</w:t>
            </w:r>
          </w:p>
        </w:tc>
        <w:tc>
          <w:tcPr>
            <w:tcW w:w="1275" w:type="dxa"/>
            <w:shd w:val="clear" w:color="auto" w:fill="auto"/>
            <w:vAlign w:val="center"/>
          </w:tcPr>
          <w:p>
            <w:pPr>
              <w:widowControl/>
              <w:spacing w:line="240" w:lineRule="auto"/>
              <w:rPr>
                <w:rFonts w:cs="宋体" w:asciiTheme="minorEastAsia" w:hAnsiTheme="minorEastAsia" w:eastAsiaTheme="minorEastAsia"/>
                <w:color w:val="000000"/>
                <w:kern w:val="0"/>
                <w:sz w:val="18"/>
                <w:szCs w:val="18"/>
              </w:rPr>
            </w:pPr>
            <w:r>
              <w:rPr>
                <w:rFonts w:hint="eastAsia"/>
                <w:color w:val="000000"/>
                <w:sz w:val="18"/>
                <w:szCs w:val="18"/>
              </w:rPr>
              <w:t>迤腊至鲁番</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8</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8</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6.5</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1840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8</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60</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石桥镇董家坟村委会</w:t>
            </w:r>
          </w:p>
        </w:tc>
        <w:tc>
          <w:tcPr>
            <w:tcW w:w="1275" w:type="dxa"/>
            <w:shd w:val="clear" w:color="auto" w:fill="auto"/>
            <w:vAlign w:val="center"/>
          </w:tcPr>
          <w:p>
            <w:pPr>
              <w:widowControl/>
              <w:spacing w:line="240" w:lineRule="auto"/>
              <w:rPr>
                <w:rFonts w:cs="宋体" w:asciiTheme="minorEastAsia" w:hAnsiTheme="minorEastAsia" w:eastAsiaTheme="minorEastAsia"/>
                <w:color w:val="000000"/>
                <w:kern w:val="0"/>
                <w:sz w:val="18"/>
                <w:szCs w:val="18"/>
              </w:rPr>
            </w:pPr>
            <w:r>
              <w:rPr>
                <w:rFonts w:hint="eastAsia"/>
                <w:color w:val="000000"/>
                <w:sz w:val="18"/>
                <w:szCs w:val="18"/>
              </w:rPr>
              <w:t>陈家坝至罗红坡</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9</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9</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6.5</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2070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8</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61</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新民镇五嘎村委会</w:t>
            </w:r>
          </w:p>
        </w:tc>
        <w:tc>
          <w:tcPr>
            <w:tcW w:w="1275" w:type="dxa"/>
            <w:shd w:val="clear" w:color="auto" w:fill="auto"/>
            <w:vAlign w:val="center"/>
          </w:tcPr>
          <w:p>
            <w:pPr>
              <w:widowControl/>
              <w:spacing w:line="240" w:lineRule="auto"/>
              <w:rPr>
                <w:rFonts w:cs="宋体" w:asciiTheme="minorEastAsia" w:hAnsiTheme="minorEastAsia" w:eastAsiaTheme="minorEastAsia"/>
                <w:color w:val="000000"/>
                <w:kern w:val="0"/>
                <w:sz w:val="18"/>
                <w:szCs w:val="18"/>
              </w:rPr>
            </w:pPr>
            <w:r>
              <w:rPr>
                <w:rFonts w:hint="eastAsia"/>
                <w:color w:val="000000"/>
                <w:sz w:val="18"/>
                <w:szCs w:val="18"/>
              </w:rPr>
              <w:t>雨那至五嘎</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7</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6.5</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1610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8</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62</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新民镇嘿舍村委会</w:t>
            </w:r>
          </w:p>
        </w:tc>
        <w:tc>
          <w:tcPr>
            <w:tcW w:w="1275" w:type="dxa"/>
            <w:shd w:val="clear" w:color="auto" w:fill="auto"/>
            <w:vAlign w:val="center"/>
          </w:tcPr>
          <w:p>
            <w:pPr>
              <w:widowControl/>
              <w:spacing w:line="240" w:lineRule="auto"/>
              <w:rPr>
                <w:rFonts w:cs="宋体" w:asciiTheme="minorEastAsia" w:hAnsiTheme="minorEastAsia" w:eastAsiaTheme="minorEastAsia"/>
                <w:color w:val="000000"/>
                <w:kern w:val="0"/>
                <w:sz w:val="18"/>
                <w:szCs w:val="18"/>
              </w:rPr>
            </w:pPr>
            <w:r>
              <w:rPr>
                <w:rFonts w:hint="eastAsia"/>
                <w:color w:val="000000"/>
                <w:sz w:val="18"/>
                <w:szCs w:val="18"/>
              </w:rPr>
              <w:t>忠义至小孔桥</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13</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13</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6.5</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2990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8</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63</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保田镇茅草坪村委会</w:t>
            </w:r>
          </w:p>
        </w:tc>
        <w:tc>
          <w:tcPr>
            <w:tcW w:w="1275" w:type="dxa"/>
            <w:shd w:val="clear" w:color="auto" w:fill="auto"/>
            <w:vAlign w:val="center"/>
          </w:tcPr>
          <w:p>
            <w:pPr>
              <w:widowControl/>
              <w:spacing w:line="240" w:lineRule="auto"/>
              <w:rPr>
                <w:rFonts w:cs="宋体" w:asciiTheme="minorEastAsia" w:hAnsiTheme="minorEastAsia" w:eastAsiaTheme="minorEastAsia"/>
                <w:color w:val="000000"/>
                <w:kern w:val="0"/>
                <w:sz w:val="18"/>
                <w:szCs w:val="18"/>
              </w:rPr>
            </w:pPr>
            <w:r>
              <w:rPr>
                <w:rFonts w:hint="eastAsia"/>
                <w:color w:val="000000"/>
                <w:sz w:val="18"/>
                <w:szCs w:val="18"/>
              </w:rPr>
              <w:t>三万底至茅草坪</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4</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4</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6.5</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920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8</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64</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保田镇打碓窝村委会</w:t>
            </w:r>
          </w:p>
        </w:tc>
        <w:tc>
          <w:tcPr>
            <w:tcW w:w="1275" w:type="dxa"/>
            <w:shd w:val="clear" w:color="auto" w:fill="auto"/>
            <w:vAlign w:val="center"/>
          </w:tcPr>
          <w:p>
            <w:pPr>
              <w:widowControl/>
              <w:spacing w:line="240" w:lineRule="auto"/>
              <w:rPr>
                <w:rFonts w:cs="宋体" w:asciiTheme="minorEastAsia" w:hAnsiTheme="minorEastAsia" w:eastAsiaTheme="minorEastAsia"/>
                <w:color w:val="000000"/>
                <w:kern w:val="0"/>
                <w:sz w:val="18"/>
                <w:szCs w:val="18"/>
              </w:rPr>
            </w:pPr>
            <w:r>
              <w:rPr>
                <w:rFonts w:hint="eastAsia"/>
                <w:color w:val="000000"/>
                <w:sz w:val="18"/>
                <w:szCs w:val="18"/>
              </w:rPr>
              <w:t>阿方至长冲</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7</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6.5</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1610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8</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65</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大山镇高祥村委会</w:t>
            </w:r>
          </w:p>
        </w:tc>
        <w:tc>
          <w:tcPr>
            <w:tcW w:w="1275" w:type="dxa"/>
            <w:shd w:val="clear" w:color="auto" w:fill="auto"/>
            <w:vAlign w:val="center"/>
          </w:tcPr>
          <w:p>
            <w:pPr>
              <w:widowControl/>
              <w:spacing w:line="240" w:lineRule="auto"/>
              <w:rPr>
                <w:rFonts w:cs="宋体" w:asciiTheme="minorEastAsia" w:hAnsiTheme="minorEastAsia" w:eastAsiaTheme="minorEastAsia"/>
                <w:color w:val="000000"/>
                <w:kern w:val="0"/>
                <w:sz w:val="18"/>
                <w:szCs w:val="18"/>
              </w:rPr>
            </w:pPr>
            <w:r>
              <w:rPr>
                <w:rFonts w:hint="eastAsia"/>
                <w:color w:val="000000"/>
                <w:sz w:val="18"/>
                <w:szCs w:val="18"/>
              </w:rPr>
              <w:t>盘南大道至鱼塘坡</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4</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4</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6.5</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920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8</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66</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大山镇松山村委会</w:t>
            </w:r>
          </w:p>
        </w:tc>
        <w:tc>
          <w:tcPr>
            <w:tcW w:w="1275" w:type="dxa"/>
            <w:shd w:val="clear" w:color="auto" w:fill="auto"/>
            <w:vAlign w:val="center"/>
          </w:tcPr>
          <w:p>
            <w:pPr>
              <w:widowControl/>
              <w:spacing w:line="240" w:lineRule="auto"/>
              <w:rPr>
                <w:rFonts w:cs="宋体" w:asciiTheme="minorEastAsia" w:hAnsiTheme="minorEastAsia" w:eastAsiaTheme="minorEastAsia"/>
                <w:color w:val="000000"/>
                <w:kern w:val="0"/>
                <w:sz w:val="18"/>
                <w:szCs w:val="18"/>
              </w:rPr>
            </w:pPr>
            <w:r>
              <w:rPr>
                <w:rFonts w:hint="eastAsia"/>
                <w:color w:val="000000"/>
                <w:sz w:val="18"/>
                <w:szCs w:val="18"/>
              </w:rPr>
              <w:t>新寨至盘南园区</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7</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6.5</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1610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8</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7"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67</w:t>
            </w:r>
          </w:p>
        </w:tc>
        <w:tc>
          <w:tcPr>
            <w:tcW w:w="998"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六盘水市</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盘州市</w:t>
            </w:r>
          </w:p>
        </w:tc>
        <w:tc>
          <w:tcPr>
            <w:tcW w:w="1843" w:type="dxa"/>
            <w:shd w:val="clear" w:color="auto" w:fill="auto"/>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响水镇文阁村委会</w:t>
            </w:r>
          </w:p>
        </w:tc>
        <w:tc>
          <w:tcPr>
            <w:tcW w:w="1275" w:type="dxa"/>
            <w:shd w:val="clear" w:color="auto" w:fill="auto"/>
            <w:vAlign w:val="center"/>
          </w:tcPr>
          <w:p>
            <w:pPr>
              <w:widowControl/>
              <w:spacing w:line="240" w:lineRule="auto"/>
              <w:rPr>
                <w:rFonts w:cs="宋体" w:asciiTheme="minorEastAsia" w:hAnsiTheme="minorEastAsia" w:eastAsiaTheme="minorEastAsia"/>
                <w:color w:val="000000"/>
                <w:kern w:val="0"/>
                <w:sz w:val="18"/>
                <w:szCs w:val="18"/>
              </w:rPr>
            </w:pPr>
            <w:r>
              <w:rPr>
                <w:rFonts w:hint="eastAsia"/>
                <w:color w:val="000000"/>
                <w:sz w:val="18"/>
                <w:szCs w:val="18"/>
              </w:rPr>
              <w:t>文阁至鲁础</w:t>
            </w:r>
            <w:r>
              <w:rPr>
                <w:rFonts w:hint="eastAsia" w:ascii="宋体" w:hAnsi="宋体" w:cs="宋体"/>
                <w:color w:val="000000"/>
                <w:kern w:val="0"/>
                <w:sz w:val="18"/>
                <w:szCs w:val="18"/>
              </w:rPr>
              <w:t>公路</w:t>
            </w:r>
          </w:p>
        </w:tc>
        <w:tc>
          <w:tcPr>
            <w:tcW w:w="993"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2</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2</w:t>
            </w:r>
          </w:p>
        </w:tc>
        <w:tc>
          <w:tcPr>
            <w:tcW w:w="992"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6.5</w:t>
            </w:r>
          </w:p>
        </w:tc>
        <w:tc>
          <w:tcPr>
            <w:tcW w:w="1134"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olor w:val="000000"/>
                <w:sz w:val="18"/>
                <w:szCs w:val="18"/>
              </w:rPr>
              <w:t>460</w:t>
            </w:r>
          </w:p>
        </w:tc>
        <w:tc>
          <w:tcPr>
            <w:tcW w:w="1134" w:type="dxa"/>
            <w:vAlign w:val="center"/>
          </w:tcPr>
          <w:p>
            <w:pPr>
              <w:widowControl/>
              <w:spacing w:line="240" w:lineRule="auto"/>
              <w:jc w:val="center"/>
              <w:rPr>
                <w:rFonts w:cs="宋体" w:asciiTheme="minorEastAsia" w:hAnsiTheme="minorEastAsia" w:eastAsiaTheme="minorEastAsia"/>
                <w:color w:val="000000"/>
                <w:kern w:val="0"/>
                <w:sz w:val="18"/>
                <w:szCs w:val="18"/>
              </w:rPr>
            </w:pPr>
          </w:p>
        </w:tc>
        <w:tc>
          <w:tcPr>
            <w:tcW w:w="851"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7</w:t>
            </w:r>
          </w:p>
        </w:tc>
        <w:tc>
          <w:tcPr>
            <w:tcW w:w="850"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w:t>
            </w:r>
            <w:r>
              <w:rPr>
                <w:rFonts w:cs="宋体" w:asciiTheme="minorEastAsia" w:hAnsiTheme="minorEastAsia" w:eastAsiaTheme="minorEastAsia"/>
                <w:color w:val="000000"/>
                <w:kern w:val="0"/>
                <w:sz w:val="18"/>
                <w:szCs w:val="18"/>
              </w:rPr>
              <w:t>8</w:t>
            </w:r>
          </w:p>
        </w:tc>
        <w:tc>
          <w:tcPr>
            <w:tcW w:w="709" w:type="dxa"/>
            <w:shd w:val="clear" w:color="auto" w:fill="auto"/>
            <w:noWrap/>
            <w:vAlign w:val="center"/>
          </w:tcPr>
          <w:p>
            <w:pPr>
              <w:widowControl/>
              <w:spacing w:line="240" w:lineRule="auto"/>
              <w:jc w:val="center"/>
              <w:rPr>
                <w:rFonts w:cs="宋体" w:asciiTheme="minorEastAsia" w:hAnsiTheme="minorEastAsia" w:eastAsiaTheme="minorEastAsia"/>
                <w:color w:val="000000"/>
                <w:kern w:val="0"/>
                <w:sz w:val="18"/>
                <w:szCs w:val="18"/>
              </w:rPr>
            </w:pPr>
          </w:p>
        </w:tc>
      </w:tr>
    </w:tbl>
    <w:p>
      <w:pPr>
        <w:sectPr>
          <w:pgSz w:w="16838" w:h="11906" w:orient="landscape"/>
          <w:pgMar w:top="1800" w:right="1440" w:bottom="1800" w:left="1440" w:header="851" w:footer="992" w:gutter="0"/>
          <w:cols w:space="425" w:num="1"/>
          <w:docGrid w:type="lines" w:linePitch="381" w:charSpace="0"/>
        </w:sectPr>
      </w:pPr>
    </w:p>
    <w:p>
      <w:pPr>
        <w:keepNext/>
        <w:keepLines/>
        <w:spacing w:after="100" w:afterAutospacing="1"/>
        <w:outlineLvl w:val="0"/>
        <w:rPr>
          <w:rFonts w:cs="宋体" w:asciiTheme="majorEastAsia" w:hAnsiTheme="majorEastAsia" w:eastAsiaTheme="majorEastAsia"/>
          <w:b/>
          <w:bCs/>
          <w:kern w:val="44"/>
          <w:sz w:val="32"/>
          <w:szCs w:val="44"/>
        </w:rPr>
      </w:pPr>
      <w:bookmarkStart w:id="1007" w:name="_Toc89102218"/>
      <w:r>
        <w:rPr>
          <w:rFonts w:hint="eastAsia" w:cs="宋体" w:asciiTheme="majorEastAsia" w:hAnsiTheme="majorEastAsia" w:eastAsiaTheme="majorEastAsia"/>
          <w:b/>
          <w:bCs/>
          <w:kern w:val="44"/>
          <w:sz w:val="32"/>
          <w:szCs w:val="44"/>
        </w:rPr>
        <w:t>附表</w:t>
      </w:r>
      <w:r>
        <w:rPr>
          <w:rFonts w:asciiTheme="majorEastAsia" w:hAnsiTheme="majorEastAsia" w:eastAsiaTheme="majorEastAsia"/>
          <w:b/>
          <w:bCs/>
          <w:kern w:val="44"/>
          <w:sz w:val="32"/>
          <w:szCs w:val="44"/>
        </w:rPr>
        <w:t xml:space="preserve">5 </w:t>
      </w:r>
      <w:r>
        <w:rPr>
          <w:rFonts w:hint="eastAsia" w:asciiTheme="majorEastAsia" w:hAnsiTheme="majorEastAsia" w:eastAsiaTheme="majorEastAsia"/>
          <w:b/>
          <w:bCs/>
          <w:kern w:val="44"/>
          <w:sz w:val="32"/>
          <w:szCs w:val="44"/>
        </w:rPr>
        <w:t xml:space="preserve"> </w:t>
      </w:r>
      <w:r>
        <w:rPr>
          <w:rFonts w:hint="eastAsia" w:cs="宋体" w:asciiTheme="majorEastAsia" w:hAnsiTheme="majorEastAsia" w:eastAsiaTheme="majorEastAsia"/>
          <w:b/>
          <w:bCs/>
          <w:kern w:val="44"/>
          <w:sz w:val="32"/>
          <w:szCs w:val="44"/>
        </w:rPr>
        <w:t>六盘水市</w:t>
      </w:r>
      <w:r>
        <w:rPr>
          <w:rFonts w:asciiTheme="majorEastAsia" w:hAnsiTheme="majorEastAsia" w:eastAsiaTheme="majorEastAsia"/>
          <w:b/>
          <w:bCs/>
          <w:kern w:val="44"/>
          <w:sz w:val="32"/>
          <w:szCs w:val="44"/>
        </w:rPr>
        <w:t>“</w:t>
      </w:r>
      <w:r>
        <w:rPr>
          <w:rFonts w:hint="eastAsia" w:cs="宋体" w:asciiTheme="majorEastAsia" w:hAnsiTheme="majorEastAsia" w:eastAsiaTheme="majorEastAsia"/>
          <w:b/>
          <w:bCs/>
          <w:kern w:val="44"/>
          <w:sz w:val="32"/>
          <w:szCs w:val="44"/>
        </w:rPr>
        <w:t>十四五</w:t>
      </w:r>
      <w:r>
        <w:rPr>
          <w:rFonts w:asciiTheme="majorEastAsia" w:hAnsiTheme="majorEastAsia" w:eastAsiaTheme="majorEastAsia"/>
          <w:b/>
          <w:bCs/>
          <w:kern w:val="44"/>
          <w:sz w:val="32"/>
          <w:szCs w:val="44"/>
        </w:rPr>
        <w:t>”</w:t>
      </w:r>
      <w:r>
        <w:rPr>
          <w:rFonts w:hint="eastAsia" w:cs="宋体" w:asciiTheme="majorEastAsia" w:hAnsiTheme="majorEastAsia" w:eastAsiaTheme="majorEastAsia"/>
          <w:b/>
          <w:bCs/>
          <w:kern w:val="44"/>
          <w:sz w:val="32"/>
          <w:szCs w:val="44"/>
        </w:rPr>
        <w:t>内河水运建设项目表</w:t>
      </w:r>
      <w:bookmarkEnd w:id="1007"/>
    </w:p>
    <w:tbl>
      <w:tblPr>
        <w:tblStyle w:val="19"/>
        <w:tblW w:w="13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992"/>
        <w:gridCol w:w="1560"/>
        <w:gridCol w:w="1559"/>
        <w:gridCol w:w="1276"/>
        <w:gridCol w:w="1193"/>
        <w:gridCol w:w="791"/>
        <w:gridCol w:w="992"/>
        <w:gridCol w:w="851"/>
        <w:gridCol w:w="850"/>
        <w:gridCol w:w="567"/>
        <w:gridCol w:w="851"/>
        <w:gridCol w:w="1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4" w:type="dxa"/>
            <w:vMerge w:val="restart"/>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序号</w:t>
            </w:r>
          </w:p>
        </w:tc>
        <w:tc>
          <w:tcPr>
            <w:tcW w:w="992" w:type="dxa"/>
            <w:vMerge w:val="restart"/>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项目所在地</w:t>
            </w:r>
          </w:p>
        </w:tc>
        <w:tc>
          <w:tcPr>
            <w:tcW w:w="1560" w:type="dxa"/>
            <w:vMerge w:val="restart"/>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项目名称</w:t>
            </w:r>
          </w:p>
        </w:tc>
        <w:tc>
          <w:tcPr>
            <w:tcW w:w="1559" w:type="dxa"/>
            <w:vMerge w:val="restart"/>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建设规模（航道等级、里程，泊位性质、吨级、个数、能力等）</w:t>
            </w:r>
          </w:p>
        </w:tc>
        <w:tc>
          <w:tcPr>
            <w:tcW w:w="1276" w:type="dxa"/>
            <w:vMerge w:val="restart"/>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建设起止年限</w:t>
            </w:r>
          </w:p>
        </w:tc>
        <w:tc>
          <w:tcPr>
            <w:tcW w:w="1193" w:type="dxa"/>
            <w:vMerge w:val="restart"/>
            <w:vAlign w:val="center"/>
          </w:tcPr>
          <w:p>
            <w:pPr>
              <w:widowControl/>
              <w:spacing w:line="240" w:lineRule="auto"/>
              <w:jc w:val="center"/>
              <w:rPr>
                <w:rFonts w:asciiTheme="majorEastAsia" w:hAnsiTheme="majorEastAsia" w:eastAsiaTheme="majorEastAsia"/>
                <w:b/>
                <w:bCs/>
                <w:color w:val="000000"/>
                <w:kern w:val="0"/>
                <w:sz w:val="18"/>
                <w:szCs w:val="18"/>
              </w:rPr>
            </w:pPr>
            <w:r>
              <w:rPr>
                <w:rFonts w:hint="eastAsia" w:asciiTheme="majorEastAsia" w:hAnsiTheme="majorEastAsia" w:eastAsiaTheme="majorEastAsia"/>
                <w:b/>
                <w:bCs/>
                <w:color w:val="000000"/>
                <w:kern w:val="0"/>
                <w:sz w:val="18"/>
                <w:szCs w:val="18"/>
              </w:rPr>
              <w:t>项目总投资</w:t>
            </w:r>
          </w:p>
          <w:p>
            <w:pPr>
              <w:widowControl/>
              <w:spacing w:line="240" w:lineRule="auto"/>
              <w:jc w:val="center"/>
              <w:rPr>
                <w:rFonts w:asciiTheme="majorEastAsia" w:hAnsiTheme="majorEastAsia" w:eastAsiaTheme="majorEastAsia"/>
                <w:b/>
                <w:bCs/>
                <w:color w:val="000000"/>
                <w:kern w:val="0"/>
                <w:sz w:val="18"/>
                <w:szCs w:val="18"/>
              </w:rPr>
            </w:pPr>
            <w:r>
              <w:rPr>
                <w:rFonts w:hint="eastAsia" w:asciiTheme="majorEastAsia" w:hAnsiTheme="majorEastAsia" w:eastAsiaTheme="majorEastAsia"/>
                <w:b/>
                <w:bCs/>
                <w:color w:val="000000"/>
                <w:kern w:val="0"/>
                <w:sz w:val="18"/>
                <w:szCs w:val="18"/>
              </w:rPr>
              <w:t>（万元）</w:t>
            </w:r>
          </w:p>
        </w:tc>
        <w:tc>
          <w:tcPr>
            <w:tcW w:w="1783" w:type="dxa"/>
            <w:gridSpan w:val="2"/>
            <w:shd w:val="clear" w:color="auto" w:fill="auto"/>
            <w:vAlign w:val="center"/>
          </w:tcPr>
          <w:p>
            <w:pPr>
              <w:widowControl/>
              <w:spacing w:line="240" w:lineRule="auto"/>
              <w:jc w:val="center"/>
              <w:rPr>
                <w:rFonts w:asciiTheme="majorEastAsia" w:hAnsiTheme="majorEastAsia" w:eastAsiaTheme="majorEastAsia"/>
                <w:b/>
                <w:bCs/>
                <w:color w:val="000000"/>
                <w:kern w:val="0"/>
                <w:sz w:val="18"/>
                <w:szCs w:val="18"/>
              </w:rPr>
            </w:pPr>
            <w:r>
              <w:rPr>
                <w:rFonts w:asciiTheme="majorEastAsia" w:hAnsiTheme="majorEastAsia" w:eastAsiaTheme="majorEastAsia"/>
                <w:b/>
                <w:bCs/>
                <w:color w:val="000000"/>
                <w:kern w:val="0"/>
                <w:sz w:val="18"/>
                <w:szCs w:val="18"/>
              </w:rPr>
              <w:t>“</w:t>
            </w:r>
            <w:r>
              <w:rPr>
                <w:rFonts w:hint="eastAsia" w:asciiTheme="majorEastAsia" w:hAnsiTheme="majorEastAsia" w:eastAsiaTheme="majorEastAsia"/>
                <w:b/>
                <w:bCs/>
                <w:color w:val="000000"/>
                <w:kern w:val="0"/>
                <w:sz w:val="18"/>
                <w:szCs w:val="18"/>
              </w:rPr>
              <w:t>十四五</w:t>
            </w:r>
            <w:r>
              <w:rPr>
                <w:rFonts w:asciiTheme="majorEastAsia" w:hAnsiTheme="majorEastAsia" w:eastAsiaTheme="majorEastAsia"/>
                <w:b/>
                <w:bCs/>
                <w:color w:val="000000"/>
                <w:kern w:val="0"/>
                <w:sz w:val="18"/>
                <w:szCs w:val="18"/>
              </w:rPr>
              <w:t>”</w:t>
            </w:r>
            <w:r>
              <w:rPr>
                <w:rFonts w:hint="eastAsia" w:asciiTheme="majorEastAsia" w:hAnsiTheme="majorEastAsia" w:eastAsiaTheme="majorEastAsia"/>
                <w:b/>
                <w:bCs/>
                <w:color w:val="000000"/>
                <w:kern w:val="0"/>
                <w:sz w:val="18"/>
                <w:szCs w:val="18"/>
              </w:rPr>
              <w:t>投资（万元）</w:t>
            </w:r>
          </w:p>
        </w:tc>
        <w:tc>
          <w:tcPr>
            <w:tcW w:w="3119" w:type="dxa"/>
            <w:gridSpan w:val="4"/>
            <w:shd w:val="clear" w:color="auto" w:fill="auto"/>
            <w:vAlign w:val="center"/>
          </w:tcPr>
          <w:p>
            <w:pPr>
              <w:widowControl/>
              <w:spacing w:line="240" w:lineRule="auto"/>
              <w:jc w:val="center"/>
              <w:rPr>
                <w:rFonts w:asciiTheme="majorEastAsia" w:hAnsiTheme="majorEastAsia" w:eastAsiaTheme="majorEastAsia"/>
                <w:b/>
                <w:bCs/>
                <w:color w:val="000000"/>
                <w:kern w:val="0"/>
                <w:sz w:val="18"/>
                <w:szCs w:val="18"/>
              </w:rPr>
            </w:pPr>
            <w:r>
              <w:rPr>
                <w:rFonts w:asciiTheme="majorEastAsia" w:hAnsiTheme="majorEastAsia" w:eastAsiaTheme="majorEastAsia"/>
                <w:b/>
                <w:bCs/>
                <w:color w:val="000000"/>
                <w:kern w:val="0"/>
                <w:sz w:val="18"/>
                <w:szCs w:val="18"/>
              </w:rPr>
              <w:t>“</w:t>
            </w:r>
            <w:r>
              <w:rPr>
                <w:rFonts w:hint="eastAsia" w:asciiTheme="majorEastAsia" w:hAnsiTheme="majorEastAsia" w:eastAsiaTheme="majorEastAsia"/>
                <w:b/>
                <w:bCs/>
                <w:color w:val="000000"/>
                <w:kern w:val="0"/>
                <w:sz w:val="18"/>
                <w:szCs w:val="18"/>
              </w:rPr>
              <w:t>十四五</w:t>
            </w:r>
            <w:r>
              <w:rPr>
                <w:rFonts w:asciiTheme="majorEastAsia" w:hAnsiTheme="majorEastAsia" w:eastAsiaTheme="majorEastAsia"/>
                <w:b/>
                <w:bCs/>
                <w:color w:val="000000"/>
                <w:kern w:val="0"/>
                <w:sz w:val="18"/>
                <w:szCs w:val="18"/>
              </w:rPr>
              <w:t>”</w:t>
            </w:r>
            <w:r>
              <w:rPr>
                <w:rFonts w:hint="eastAsia" w:asciiTheme="majorEastAsia" w:hAnsiTheme="majorEastAsia" w:eastAsiaTheme="majorEastAsia"/>
                <w:b/>
                <w:bCs/>
                <w:color w:val="000000"/>
                <w:kern w:val="0"/>
                <w:sz w:val="18"/>
                <w:szCs w:val="18"/>
              </w:rPr>
              <w:t>新增泊位能力</w:t>
            </w:r>
          </w:p>
        </w:tc>
        <w:tc>
          <w:tcPr>
            <w:tcW w:w="1762" w:type="dxa"/>
            <w:vMerge w:val="restart"/>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4" w:type="dxa"/>
            <w:vMerge w:val="continue"/>
            <w:vAlign w:val="center"/>
          </w:tcPr>
          <w:p>
            <w:pPr>
              <w:widowControl/>
              <w:spacing w:line="240" w:lineRule="auto"/>
              <w:jc w:val="center"/>
              <w:rPr>
                <w:rFonts w:cs="宋体" w:asciiTheme="majorEastAsia" w:hAnsiTheme="majorEastAsia" w:eastAsiaTheme="majorEastAsia"/>
                <w:b/>
                <w:bCs/>
                <w:color w:val="000000"/>
                <w:kern w:val="0"/>
                <w:sz w:val="18"/>
                <w:szCs w:val="18"/>
              </w:rPr>
            </w:pPr>
          </w:p>
        </w:tc>
        <w:tc>
          <w:tcPr>
            <w:tcW w:w="992" w:type="dxa"/>
            <w:vMerge w:val="continue"/>
            <w:vAlign w:val="center"/>
          </w:tcPr>
          <w:p>
            <w:pPr>
              <w:widowControl/>
              <w:spacing w:line="240" w:lineRule="auto"/>
              <w:jc w:val="center"/>
              <w:rPr>
                <w:rFonts w:cs="宋体" w:asciiTheme="majorEastAsia" w:hAnsiTheme="majorEastAsia" w:eastAsiaTheme="majorEastAsia"/>
                <w:b/>
                <w:bCs/>
                <w:color w:val="000000"/>
                <w:kern w:val="0"/>
                <w:sz w:val="18"/>
                <w:szCs w:val="18"/>
              </w:rPr>
            </w:pPr>
          </w:p>
        </w:tc>
        <w:tc>
          <w:tcPr>
            <w:tcW w:w="1560" w:type="dxa"/>
            <w:vMerge w:val="continue"/>
            <w:vAlign w:val="center"/>
          </w:tcPr>
          <w:p>
            <w:pPr>
              <w:widowControl/>
              <w:spacing w:line="240" w:lineRule="auto"/>
              <w:jc w:val="center"/>
              <w:rPr>
                <w:rFonts w:cs="宋体" w:asciiTheme="majorEastAsia" w:hAnsiTheme="majorEastAsia" w:eastAsiaTheme="majorEastAsia"/>
                <w:b/>
                <w:bCs/>
                <w:color w:val="000000"/>
                <w:kern w:val="0"/>
                <w:sz w:val="18"/>
                <w:szCs w:val="18"/>
              </w:rPr>
            </w:pPr>
          </w:p>
        </w:tc>
        <w:tc>
          <w:tcPr>
            <w:tcW w:w="1559" w:type="dxa"/>
            <w:vMerge w:val="continue"/>
            <w:vAlign w:val="center"/>
          </w:tcPr>
          <w:p>
            <w:pPr>
              <w:widowControl/>
              <w:spacing w:line="240" w:lineRule="auto"/>
              <w:jc w:val="center"/>
              <w:rPr>
                <w:rFonts w:cs="宋体" w:asciiTheme="majorEastAsia" w:hAnsiTheme="majorEastAsia" w:eastAsiaTheme="majorEastAsia"/>
                <w:b/>
                <w:bCs/>
                <w:color w:val="000000"/>
                <w:kern w:val="0"/>
                <w:sz w:val="18"/>
                <w:szCs w:val="18"/>
              </w:rPr>
            </w:pPr>
          </w:p>
        </w:tc>
        <w:tc>
          <w:tcPr>
            <w:tcW w:w="1276" w:type="dxa"/>
            <w:vMerge w:val="continue"/>
            <w:vAlign w:val="center"/>
          </w:tcPr>
          <w:p>
            <w:pPr>
              <w:widowControl/>
              <w:spacing w:line="240" w:lineRule="auto"/>
              <w:jc w:val="center"/>
              <w:rPr>
                <w:rFonts w:cs="宋体" w:asciiTheme="majorEastAsia" w:hAnsiTheme="majorEastAsia" w:eastAsiaTheme="majorEastAsia"/>
                <w:b/>
                <w:bCs/>
                <w:color w:val="000000"/>
                <w:kern w:val="0"/>
                <w:sz w:val="18"/>
                <w:szCs w:val="18"/>
              </w:rPr>
            </w:pPr>
          </w:p>
        </w:tc>
        <w:tc>
          <w:tcPr>
            <w:tcW w:w="1193" w:type="dxa"/>
            <w:vMerge w:val="continue"/>
          </w:tcPr>
          <w:p>
            <w:pPr>
              <w:widowControl/>
              <w:spacing w:line="240" w:lineRule="auto"/>
              <w:jc w:val="center"/>
              <w:rPr>
                <w:rFonts w:cs="宋体" w:asciiTheme="majorEastAsia" w:hAnsiTheme="majorEastAsia" w:eastAsiaTheme="majorEastAsia"/>
                <w:b/>
                <w:bCs/>
                <w:color w:val="000000"/>
                <w:kern w:val="0"/>
                <w:sz w:val="18"/>
                <w:szCs w:val="18"/>
              </w:rPr>
            </w:pPr>
          </w:p>
        </w:tc>
        <w:tc>
          <w:tcPr>
            <w:tcW w:w="791" w:type="dxa"/>
            <w:vMerge w:val="restart"/>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合计</w:t>
            </w:r>
          </w:p>
        </w:tc>
        <w:tc>
          <w:tcPr>
            <w:tcW w:w="992" w:type="dxa"/>
            <w:vMerge w:val="restart"/>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补助</w:t>
            </w:r>
          </w:p>
        </w:tc>
        <w:tc>
          <w:tcPr>
            <w:tcW w:w="1701" w:type="dxa"/>
            <w:gridSpan w:val="2"/>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港口</w:t>
            </w:r>
          </w:p>
        </w:tc>
        <w:tc>
          <w:tcPr>
            <w:tcW w:w="1418" w:type="dxa"/>
            <w:gridSpan w:val="2"/>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航道</w:t>
            </w:r>
          </w:p>
        </w:tc>
        <w:tc>
          <w:tcPr>
            <w:tcW w:w="1762" w:type="dxa"/>
            <w:vMerge w:val="continue"/>
            <w:vAlign w:val="center"/>
          </w:tcPr>
          <w:p>
            <w:pPr>
              <w:widowControl/>
              <w:spacing w:line="240" w:lineRule="auto"/>
              <w:jc w:val="center"/>
              <w:rPr>
                <w:rFonts w:cs="宋体" w:asciiTheme="majorEastAsia" w:hAnsiTheme="majorEastAsia" w:eastAsiaTheme="majorEastAsia"/>
                <w:b/>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704" w:type="dxa"/>
            <w:vMerge w:val="continue"/>
            <w:vAlign w:val="center"/>
          </w:tcPr>
          <w:p>
            <w:pPr>
              <w:widowControl/>
              <w:spacing w:line="240" w:lineRule="auto"/>
              <w:jc w:val="center"/>
              <w:rPr>
                <w:rFonts w:cs="宋体" w:asciiTheme="majorEastAsia" w:hAnsiTheme="majorEastAsia" w:eastAsiaTheme="majorEastAsia"/>
                <w:b/>
                <w:bCs/>
                <w:color w:val="000000"/>
                <w:kern w:val="0"/>
                <w:sz w:val="18"/>
                <w:szCs w:val="18"/>
              </w:rPr>
            </w:pPr>
          </w:p>
        </w:tc>
        <w:tc>
          <w:tcPr>
            <w:tcW w:w="992" w:type="dxa"/>
            <w:vMerge w:val="continue"/>
            <w:vAlign w:val="center"/>
          </w:tcPr>
          <w:p>
            <w:pPr>
              <w:widowControl/>
              <w:spacing w:line="240" w:lineRule="auto"/>
              <w:jc w:val="center"/>
              <w:rPr>
                <w:rFonts w:cs="宋体" w:asciiTheme="majorEastAsia" w:hAnsiTheme="majorEastAsia" w:eastAsiaTheme="majorEastAsia"/>
                <w:b/>
                <w:bCs/>
                <w:color w:val="000000"/>
                <w:kern w:val="0"/>
                <w:sz w:val="18"/>
                <w:szCs w:val="18"/>
              </w:rPr>
            </w:pPr>
          </w:p>
        </w:tc>
        <w:tc>
          <w:tcPr>
            <w:tcW w:w="1560" w:type="dxa"/>
            <w:vMerge w:val="continue"/>
            <w:vAlign w:val="center"/>
          </w:tcPr>
          <w:p>
            <w:pPr>
              <w:widowControl/>
              <w:spacing w:line="240" w:lineRule="auto"/>
              <w:jc w:val="center"/>
              <w:rPr>
                <w:rFonts w:cs="宋体" w:asciiTheme="majorEastAsia" w:hAnsiTheme="majorEastAsia" w:eastAsiaTheme="majorEastAsia"/>
                <w:b/>
                <w:bCs/>
                <w:color w:val="000000"/>
                <w:kern w:val="0"/>
                <w:sz w:val="18"/>
                <w:szCs w:val="18"/>
              </w:rPr>
            </w:pPr>
          </w:p>
        </w:tc>
        <w:tc>
          <w:tcPr>
            <w:tcW w:w="1559" w:type="dxa"/>
            <w:vMerge w:val="continue"/>
            <w:vAlign w:val="center"/>
          </w:tcPr>
          <w:p>
            <w:pPr>
              <w:widowControl/>
              <w:spacing w:line="240" w:lineRule="auto"/>
              <w:jc w:val="center"/>
              <w:rPr>
                <w:rFonts w:cs="宋体" w:asciiTheme="majorEastAsia" w:hAnsiTheme="majorEastAsia" w:eastAsiaTheme="majorEastAsia"/>
                <w:b/>
                <w:bCs/>
                <w:color w:val="000000"/>
                <w:kern w:val="0"/>
                <w:sz w:val="18"/>
                <w:szCs w:val="18"/>
              </w:rPr>
            </w:pPr>
          </w:p>
        </w:tc>
        <w:tc>
          <w:tcPr>
            <w:tcW w:w="1276" w:type="dxa"/>
            <w:vMerge w:val="continue"/>
            <w:vAlign w:val="center"/>
          </w:tcPr>
          <w:p>
            <w:pPr>
              <w:widowControl/>
              <w:spacing w:line="240" w:lineRule="auto"/>
              <w:jc w:val="center"/>
              <w:rPr>
                <w:rFonts w:cs="宋体" w:asciiTheme="majorEastAsia" w:hAnsiTheme="majorEastAsia" w:eastAsiaTheme="majorEastAsia"/>
                <w:b/>
                <w:bCs/>
                <w:color w:val="000000"/>
                <w:kern w:val="0"/>
                <w:sz w:val="18"/>
                <w:szCs w:val="18"/>
              </w:rPr>
            </w:pPr>
          </w:p>
        </w:tc>
        <w:tc>
          <w:tcPr>
            <w:tcW w:w="1193" w:type="dxa"/>
            <w:vMerge w:val="continue"/>
          </w:tcPr>
          <w:p>
            <w:pPr>
              <w:widowControl/>
              <w:spacing w:line="240" w:lineRule="auto"/>
              <w:jc w:val="center"/>
              <w:rPr>
                <w:rFonts w:cs="宋体" w:asciiTheme="majorEastAsia" w:hAnsiTheme="majorEastAsia" w:eastAsiaTheme="majorEastAsia"/>
                <w:b/>
                <w:bCs/>
                <w:color w:val="000000"/>
                <w:kern w:val="0"/>
                <w:sz w:val="18"/>
                <w:szCs w:val="18"/>
              </w:rPr>
            </w:pPr>
          </w:p>
        </w:tc>
        <w:tc>
          <w:tcPr>
            <w:tcW w:w="791" w:type="dxa"/>
            <w:vMerge w:val="continue"/>
            <w:vAlign w:val="center"/>
          </w:tcPr>
          <w:p>
            <w:pPr>
              <w:widowControl/>
              <w:spacing w:line="240" w:lineRule="auto"/>
              <w:jc w:val="center"/>
              <w:rPr>
                <w:rFonts w:cs="宋体" w:asciiTheme="majorEastAsia" w:hAnsiTheme="majorEastAsia" w:eastAsiaTheme="majorEastAsia"/>
                <w:b/>
                <w:bCs/>
                <w:color w:val="000000"/>
                <w:kern w:val="0"/>
                <w:sz w:val="18"/>
                <w:szCs w:val="18"/>
              </w:rPr>
            </w:pPr>
          </w:p>
        </w:tc>
        <w:tc>
          <w:tcPr>
            <w:tcW w:w="992" w:type="dxa"/>
            <w:vMerge w:val="continue"/>
            <w:vAlign w:val="center"/>
          </w:tcPr>
          <w:p>
            <w:pPr>
              <w:widowControl/>
              <w:spacing w:line="240" w:lineRule="auto"/>
              <w:jc w:val="center"/>
              <w:rPr>
                <w:rFonts w:cs="宋体" w:asciiTheme="majorEastAsia" w:hAnsiTheme="majorEastAsia" w:eastAsiaTheme="majorEastAsia"/>
                <w:b/>
                <w:bCs/>
                <w:color w:val="000000"/>
                <w:kern w:val="0"/>
                <w:sz w:val="18"/>
                <w:szCs w:val="18"/>
              </w:rPr>
            </w:pPr>
          </w:p>
        </w:tc>
        <w:tc>
          <w:tcPr>
            <w:tcW w:w="851" w:type="dxa"/>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泊位数</w:t>
            </w:r>
          </w:p>
        </w:tc>
        <w:tc>
          <w:tcPr>
            <w:tcW w:w="850" w:type="dxa"/>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能力</w:t>
            </w:r>
            <w:r>
              <w:rPr>
                <w:rFonts w:asciiTheme="majorEastAsia" w:hAnsiTheme="majorEastAsia" w:eastAsiaTheme="majorEastAsia"/>
                <w:b/>
                <w:bCs/>
                <w:color w:val="000000"/>
                <w:kern w:val="0"/>
                <w:sz w:val="18"/>
                <w:szCs w:val="18"/>
              </w:rPr>
              <w:t>(</w:t>
            </w:r>
            <w:r>
              <w:rPr>
                <w:rFonts w:hint="eastAsia" w:cs="宋体" w:asciiTheme="majorEastAsia" w:hAnsiTheme="majorEastAsia" w:eastAsiaTheme="majorEastAsia"/>
                <w:b/>
                <w:bCs/>
                <w:color w:val="000000"/>
                <w:kern w:val="0"/>
                <w:sz w:val="18"/>
                <w:szCs w:val="18"/>
              </w:rPr>
              <w:t>万吨</w:t>
            </w:r>
            <w:r>
              <w:rPr>
                <w:rFonts w:asciiTheme="majorEastAsia" w:hAnsiTheme="majorEastAsia" w:eastAsiaTheme="majorEastAsia"/>
                <w:b/>
                <w:bCs/>
                <w:color w:val="000000"/>
                <w:kern w:val="0"/>
                <w:sz w:val="18"/>
                <w:szCs w:val="18"/>
              </w:rPr>
              <w:t>)</w:t>
            </w:r>
          </w:p>
        </w:tc>
        <w:tc>
          <w:tcPr>
            <w:tcW w:w="567" w:type="dxa"/>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等级</w:t>
            </w:r>
          </w:p>
        </w:tc>
        <w:tc>
          <w:tcPr>
            <w:tcW w:w="851" w:type="dxa"/>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里程</w:t>
            </w:r>
            <w:r>
              <w:rPr>
                <w:rFonts w:asciiTheme="majorEastAsia" w:hAnsiTheme="majorEastAsia" w:eastAsiaTheme="majorEastAsia"/>
                <w:b/>
                <w:bCs/>
                <w:color w:val="000000"/>
                <w:kern w:val="0"/>
                <w:sz w:val="18"/>
                <w:szCs w:val="18"/>
              </w:rPr>
              <w:t>(</w:t>
            </w:r>
            <w:r>
              <w:rPr>
                <w:rFonts w:hint="eastAsia" w:cs="宋体" w:asciiTheme="majorEastAsia" w:hAnsiTheme="majorEastAsia" w:eastAsiaTheme="majorEastAsia"/>
                <w:b/>
                <w:bCs/>
                <w:color w:val="000000"/>
                <w:kern w:val="0"/>
                <w:sz w:val="18"/>
                <w:szCs w:val="18"/>
              </w:rPr>
              <w:t>公里</w:t>
            </w:r>
            <w:r>
              <w:rPr>
                <w:rFonts w:asciiTheme="majorEastAsia" w:hAnsiTheme="majorEastAsia" w:eastAsiaTheme="majorEastAsia"/>
                <w:b/>
                <w:bCs/>
                <w:color w:val="000000"/>
                <w:kern w:val="0"/>
                <w:sz w:val="18"/>
                <w:szCs w:val="18"/>
              </w:rPr>
              <w:t>)</w:t>
            </w:r>
          </w:p>
        </w:tc>
        <w:tc>
          <w:tcPr>
            <w:tcW w:w="1762" w:type="dxa"/>
            <w:vMerge w:val="continue"/>
            <w:vAlign w:val="center"/>
          </w:tcPr>
          <w:p>
            <w:pPr>
              <w:widowControl/>
              <w:spacing w:line="240" w:lineRule="auto"/>
              <w:jc w:val="center"/>
              <w:rPr>
                <w:rFonts w:cs="宋体" w:asciiTheme="majorEastAsia" w:hAnsiTheme="majorEastAsia" w:eastAsiaTheme="majorEastAsia"/>
                <w:b/>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256" w:type="dxa"/>
            <w:gridSpan w:val="3"/>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总</w:t>
            </w:r>
            <w:r>
              <w:rPr>
                <w:rFonts w:asciiTheme="majorEastAsia" w:hAnsiTheme="majorEastAsia" w:eastAsiaTheme="majorEastAsia"/>
                <w:b/>
                <w:bCs/>
                <w:color w:val="000000"/>
                <w:kern w:val="0"/>
                <w:sz w:val="18"/>
                <w:szCs w:val="18"/>
              </w:rPr>
              <w:t xml:space="preserve">   </w:t>
            </w:r>
            <w:r>
              <w:rPr>
                <w:rFonts w:hint="eastAsia" w:cs="宋体" w:asciiTheme="majorEastAsia" w:hAnsiTheme="majorEastAsia" w:eastAsiaTheme="majorEastAsia"/>
                <w:b/>
                <w:bCs/>
                <w:color w:val="000000"/>
                <w:kern w:val="0"/>
                <w:sz w:val="18"/>
                <w:szCs w:val="18"/>
              </w:rPr>
              <w:t>计</w:t>
            </w:r>
          </w:p>
        </w:tc>
        <w:tc>
          <w:tcPr>
            <w:tcW w:w="1559" w:type="dxa"/>
            <w:shd w:val="clear" w:color="auto" w:fill="auto"/>
            <w:vAlign w:val="center"/>
          </w:tcPr>
          <w:p>
            <w:pPr>
              <w:widowControl/>
              <w:spacing w:line="240" w:lineRule="auto"/>
              <w:jc w:val="center"/>
              <w:rPr>
                <w:rFonts w:asciiTheme="majorEastAsia" w:hAnsiTheme="majorEastAsia" w:eastAsiaTheme="majorEastAsia"/>
                <w:b/>
                <w:bCs/>
                <w:color w:val="000000"/>
                <w:kern w:val="0"/>
                <w:sz w:val="18"/>
                <w:szCs w:val="18"/>
              </w:rPr>
            </w:pPr>
          </w:p>
        </w:tc>
        <w:tc>
          <w:tcPr>
            <w:tcW w:w="1276" w:type="dxa"/>
            <w:shd w:val="clear" w:color="auto" w:fill="auto"/>
            <w:vAlign w:val="center"/>
          </w:tcPr>
          <w:p>
            <w:pPr>
              <w:widowControl/>
              <w:spacing w:line="240" w:lineRule="auto"/>
              <w:jc w:val="center"/>
              <w:rPr>
                <w:rFonts w:asciiTheme="majorEastAsia" w:hAnsiTheme="majorEastAsia" w:eastAsiaTheme="majorEastAsia"/>
                <w:b/>
                <w:bCs/>
                <w:color w:val="000000"/>
                <w:kern w:val="0"/>
                <w:sz w:val="18"/>
                <w:szCs w:val="18"/>
              </w:rPr>
            </w:pPr>
          </w:p>
        </w:tc>
        <w:tc>
          <w:tcPr>
            <w:tcW w:w="1193" w:type="dxa"/>
          </w:tcPr>
          <w:p>
            <w:pPr>
              <w:widowControl/>
              <w:spacing w:line="240" w:lineRule="auto"/>
              <w:jc w:val="center"/>
              <w:rPr>
                <w:rFonts w:asciiTheme="majorEastAsia" w:hAnsiTheme="majorEastAsia" w:eastAsiaTheme="majorEastAsia"/>
                <w:b/>
                <w:bCs/>
                <w:color w:val="000000"/>
                <w:kern w:val="0"/>
                <w:sz w:val="18"/>
                <w:szCs w:val="18"/>
              </w:rPr>
            </w:pPr>
            <w:r>
              <w:rPr>
                <w:rFonts w:asciiTheme="majorEastAsia" w:hAnsiTheme="majorEastAsia" w:eastAsiaTheme="majorEastAsia"/>
                <w:b/>
                <w:bCs/>
                <w:color w:val="000000"/>
                <w:kern w:val="0"/>
                <w:sz w:val="18"/>
                <w:szCs w:val="18"/>
              </w:rPr>
              <w:t>11360</w:t>
            </w:r>
          </w:p>
        </w:tc>
        <w:tc>
          <w:tcPr>
            <w:tcW w:w="791" w:type="dxa"/>
            <w:shd w:val="clear" w:color="auto" w:fill="auto"/>
            <w:vAlign w:val="center"/>
          </w:tcPr>
          <w:p>
            <w:pPr>
              <w:widowControl/>
              <w:spacing w:line="240" w:lineRule="auto"/>
              <w:jc w:val="center"/>
              <w:rPr>
                <w:rFonts w:asciiTheme="majorEastAsia" w:hAnsiTheme="majorEastAsia" w:eastAsiaTheme="majorEastAsia"/>
                <w:b/>
                <w:bCs/>
                <w:color w:val="000000"/>
                <w:kern w:val="0"/>
                <w:sz w:val="18"/>
                <w:szCs w:val="18"/>
              </w:rPr>
            </w:pPr>
            <w:r>
              <w:rPr>
                <w:rFonts w:cs="宋体" w:asciiTheme="majorEastAsia" w:hAnsiTheme="majorEastAsia" w:eastAsiaTheme="majorEastAsia"/>
                <w:b/>
                <w:bCs/>
                <w:kern w:val="0"/>
                <w:sz w:val="18"/>
                <w:szCs w:val="18"/>
              </w:rPr>
              <w:t>5000</w:t>
            </w:r>
          </w:p>
        </w:tc>
        <w:tc>
          <w:tcPr>
            <w:tcW w:w="992" w:type="dxa"/>
            <w:shd w:val="clear" w:color="auto" w:fill="auto"/>
            <w:vAlign w:val="center"/>
          </w:tcPr>
          <w:p>
            <w:pPr>
              <w:widowControl/>
              <w:spacing w:line="240" w:lineRule="auto"/>
              <w:jc w:val="center"/>
              <w:rPr>
                <w:rFonts w:asciiTheme="majorEastAsia" w:hAnsiTheme="majorEastAsia" w:eastAsiaTheme="majorEastAsia"/>
                <w:b/>
                <w:bCs/>
                <w:color w:val="000000"/>
                <w:kern w:val="0"/>
                <w:sz w:val="18"/>
                <w:szCs w:val="18"/>
              </w:rPr>
            </w:pPr>
            <w:r>
              <w:rPr>
                <w:rFonts w:cs="宋体" w:asciiTheme="majorEastAsia" w:hAnsiTheme="majorEastAsia" w:eastAsiaTheme="majorEastAsia"/>
                <w:b/>
                <w:bCs/>
                <w:kern w:val="0"/>
                <w:sz w:val="18"/>
                <w:szCs w:val="18"/>
              </w:rPr>
              <w:t>5000</w:t>
            </w:r>
          </w:p>
        </w:tc>
        <w:tc>
          <w:tcPr>
            <w:tcW w:w="851" w:type="dxa"/>
            <w:shd w:val="clear" w:color="auto" w:fill="auto"/>
            <w:vAlign w:val="center"/>
          </w:tcPr>
          <w:p>
            <w:pPr>
              <w:widowControl/>
              <w:spacing w:line="240" w:lineRule="auto"/>
              <w:jc w:val="center"/>
              <w:rPr>
                <w:rFonts w:asciiTheme="majorEastAsia" w:hAnsiTheme="majorEastAsia" w:eastAsiaTheme="majorEastAsia"/>
                <w:b/>
                <w:bCs/>
                <w:color w:val="000000"/>
                <w:kern w:val="0"/>
                <w:sz w:val="18"/>
                <w:szCs w:val="18"/>
              </w:rPr>
            </w:pPr>
          </w:p>
        </w:tc>
        <w:tc>
          <w:tcPr>
            <w:tcW w:w="850" w:type="dxa"/>
            <w:shd w:val="clear" w:color="auto" w:fill="auto"/>
            <w:vAlign w:val="center"/>
          </w:tcPr>
          <w:p>
            <w:pPr>
              <w:widowControl/>
              <w:spacing w:line="240" w:lineRule="auto"/>
              <w:jc w:val="center"/>
              <w:rPr>
                <w:rFonts w:asciiTheme="majorEastAsia" w:hAnsiTheme="majorEastAsia" w:eastAsiaTheme="majorEastAsia"/>
                <w:b/>
                <w:bCs/>
                <w:color w:val="000000"/>
                <w:kern w:val="0"/>
                <w:sz w:val="18"/>
                <w:szCs w:val="18"/>
              </w:rPr>
            </w:pPr>
          </w:p>
        </w:tc>
        <w:tc>
          <w:tcPr>
            <w:tcW w:w="567" w:type="dxa"/>
            <w:shd w:val="clear" w:color="auto" w:fill="auto"/>
            <w:vAlign w:val="center"/>
          </w:tcPr>
          <w:p>
            <w:pPr>
              <w:widowControl/>
              <w:spacing w:line="240" w:lineRule="auto"/>
              <w:jc w:val="center"/>
              <w:rPr>
                <w:rFonts w:asciiTheme="majorEastAsia" w:hAnsiTheme="majorEastAsia" w:eastAsiaTheme="majorEastAsia"/>
                <w:b/>
                <w:bCs/>
                <w:color w:val="000000"/>
                <w:kern w:val="0"/>
                <w:sz w:val="18"/>
                <w:szCs w:val="18"/>
              </w:rPr>
            </w:pPr>
          </w:p>
        </w:tc>
        <w:tc>
          <w:tcPr>
            <w:tcW w:w="851" w:type="dxa"/>
            <w:shd w:val="clear" w:color="auto" w:fill="auto"/>
            <w:vAlign w:val="center"/>
          </w:tcPr>
          <w:p>
            <w:pPr>
              <w:widowControl/>
              <w:spacing w:line="240" w:lineRule="auto"/>
              <w:jc w:val="center"/>
              <w:rPr>
                <w:rFonts w:asciiTheme="majorEastAsia" w:hAnsiTheme="majorEastAsia" w:eastAsiaTheme="majorEastAsia"/>
                <w:b/>
                <w:bCs/>
                <w:color w:val="000000"/>
                <w:kern w:val="0"/>
                <w:sz w:val="18"/>
                <w:szCs w:val="18"/>
              </w:rPr>
            </w:pPr>
          </w:p>
        </w:tc>
        <w:tc>
          <w:tcPr>
            <w:tcW w:w="1762" w:type="dxa"/>
            <w:shd w:val="clear" w:color="auto" w:fill="auto"/>
            <w:vAlign w:val="center"/>
          </w:tcPr>
          <w:p>
            <w:pPr>
              <w:widowControl/>
              <w:spacing w:line="240" w:lineRule="auto"/>
              <w:jc w:val="center"/>
              <w:rPr>
                <w:rFonts w:asciiTheme="majorEastAsia" w:hAnsiTheme="majorEastAsia" w:eastAsiaTheme="majorEastAsia"/>
                <w:b/>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815" w:type="dxa"/>
            <w:gridSpan w:val="4"/>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asciiTheme="majorEastAsia" w:hAnsiTheme="majorEastAsia" w:eastAsiaTheme="majorEastAsia"/>
                <w:b/>
                <w:bCs/>
                <w:color w:val="000000"/>
                <w:kern w:val="0"/>
                <w:sz w:val="18"/>
                <w:szCs w:val="18"/>
              </w:rPr>
              <w:t xml:space="preserve"> “</w:t>
            </w:r>
            <w:r>
              <w:rPr>
                <w:rFonts w:hint="eastAsia" w:cs="宋体" w:asciiTheme="majorEastAsia" w:hAnsiTheme="majorEastAsia" w:eastAsiaTheme="majorEastAsia"/>
                <w:b/>
                <w:bCs/>
                <w:color w:val="000000"/>
                <w:kern w:val="0"/>
                <w:sz w:val="18"/>
                <w:szCs w:val="18"/>
              </w:rPr>
              <w:t>十四五</w:t>
            </w:r>
            <w:r>
              <w:rPr>
                <w:rFonts w:asciiTheme="majorEastAsia" w:hAnsiTheme="majorEastAsia" w:eastAsiaTheme="majorEastAsia"/>
                <w:b/>
                <w:bCs/>
                <w:color w:val="000000"/>
                <w:kern w:val="0"/>
                <w:sz w:val="18"/>
                <w:szCs w:val="18"/>
              </w:rPr>
              <w:t>”</w:t>
            </w:r>
            <w:r>
              <w:rPr>
                <w:rFonts w:hint="eastAsia" w:cs="宋体" w:asciiTheme="majorEastAsia" w:hAnsiTheme="majorEastAsia" w:eastAsiaTheme="majorEastAsia"/>
                <w:b/>
                <w:bCs/>
                <w:color w:val="000000"/>
                <w:kern w:val="0"/>
                <w:sz w:val="18"/>
                <w:szCs w:val="18"/>
              </w:rPr>
              <w:t>项目</w:t>
            </w:r>
          </w:p>
        </w:tc>
        <w:tc>
          <w:tcPr>
            <w:tcW w:w="1276" w:type="dxa"/>
            <w:shd w:val="clear" w:color="auto" w:fill="auto"/>
            <w:vAlign w:val="center"/>
          </w:tcPr>
          <w:p>
            <w:pPr>
              <w:widowControl/>
              <w:spacing w:line="240" w:lineRule="auto"/>
              <w:jc w:val="center"/>
              <w:rPr>
                <w:rFonts w:asciiTheme="majorEastAsia" w:hAnsiTheme="majorEastAsia" w:eastAsiaTheme="majorEastAsia"/>
                <w:kern w:val="0"/>
                <w:sz w:val="18"/>
                <w:szCs w:val="18"/>
              </w:rPr>
            </w:pPr>
          </w:p>
        </w:tc>
        <w:tc>
          <w:tcPr>
            <w:tcW w:w="1193" w:type="dxa"/>
            <w:vAlign w:val="center"/>
          </w:tcPr>
          <w:p>
            <w:pPr>
              <w:widowControl/>
              <w:spacing w:line="240" w:lineRule="auto"/>
              <w:jc w:val="center"/>
              <w:rPr>
                <w:rFonts w:asciiTheme="majorEastAsia" w:hAnsiTheme="majorEastAsia" w:eastAsiaTheme="majorEastAsia"/>
                <w:b/>
                <w:bCs/>
                <w:kern w:val="0"/>
                <w:sz w:val="18"/>
                <w:szCs w:val="18"/>
              </w:rPr>
            </w:pPr>
            <w:r>
              <w:rPr>
                <w:rFonts w:hint="eastAsia" w:asciiTheme="majorEastAsia" w:hAnsiTheme="majorEastAsia" w:eastAsiaTheme="majorEastAsia"/>
                <w:b/>
                <w:bCs/>
                <w:kern w:val="0"/>
                <w:sz w:val="18"/>
                <w:szCs w:val="18"/>
              </w:rPr>
              <w:t>8</w:t>
            </w:r>
            <w:r>
              <w:rPr>
                <w:rFonts w:asciiTheme="majorEastAsia" w:hAnsiTheme="majorEastAsia" w:eastAsiaTheme="majorEastAsia"/>
                <w:b/>
                <w:bCs/>
                <w:kern w:val="0"/>
                <w:sz w:val="18"/>
                <w:szCs w:val="18"/>
              </w:rPr>
              <w:t>500</w:t>
            </w:r>
          </w:p>
        </w:tc>
        <w:tc>
          <w:tcPr>
            <w:tcW w:w="791" w:type="dxa"/>
            <w:shd w:val="clear" w:color="auto" w:fill="auto"/>
            <w:vAlign w:val="center"/>
          </w:tcPr>
          <w:p>
            <w:pPr>
              <w:widowControl/>
              <w:spacing w:line="240" w:lineRule="auto"/>
              <w:jc w:val="center"/>
              <w:rPr>
                <w:rFonts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asciiTheme="majorEastAsia" w:hAnsiTheme="majorEastAsia" w:eastAsiaTheme="majorEastAsia"/>
                <w:kern w:val="0"/>
                <w:sz w:val="18"/>
                <w:szCs w:val="18"/>
              </w:rPr>
            </w:pPr>
          </w:p>
        </w:tc>
        <w:tc>
          <w:tcPr>
            <w:tcW w:w="851" w:type="dxa"/>
            <w:shd w:val="clear" w:color="auto" w:fill="auto"/>
            <w:vAlign w:val="center"/>
          </w:tcPr>
          <w:p>
            <w:pPr>
              <w:widowControl/>
              <w:spacing w:line="240" w:lineRule="auto"/>
              <w:jc w:val="center"/>
              <w:rPr>
                <w:rFonts w:asciiTheme="majorEastAsia" w:hAnsiTheme="majorEastAsia" w:eastAsiaTheme="majorEastAsia"/>
                <w:kern w:val="0"/>
                <w:sz w:val="18"/>
                <w:szCs w:val="18"/>
              </w:rPr>
            </w:pPr>
          </w:p>
        </w:tc>
        <w:tc>
          <w:tcPr>
            <w:tcW w:w="850" w:type="dxa"/>
            <w:shd w:val="clear" w:color="auto" w:fill="auto"/>
            <w:vAlign w:val="center"/>
          </w:tcPr>
          <w:p>
            <w:pPr>
              <w:widowControl/>
              <w:spacing w:line="240" w:lineRule="auto"/>
              <w:jc w:val="center"/>
              <w:rPr>
                <w:rFonts w:asciiTheme="majorEastAsia" w:hAnsiTheme="majorEastAsia" w:eastAsiaTheme="majorEastAsia"/>
                <w:kern w:val="0"/>
                <w:sz w:val="18"/>
                <w:szCs w:val="18"/>
              </w:rPr>
            </w:pPr>
          </w:p>
        </w:tc>
        <w:tc>
          <w:tcPr>
            <w:tcW w:w="567" w:type="dxa"/>
            <w:shd w:val="clear" w:color="auto" w:fill="auto"/>
            <w:vAlign w:val="center"/>
          </w:tcPr>
          <w:p>
            <w:pPr>
              <w:widowControl/>
              <w:spacing w:line="240" w:lineRule="auto"/>
              <w:jc w:val="center"/>
              <w:rPr>
                <w:rFonts w:asciiTheme="majorEastAsia" w:hAnsiTheme="majorEastAsia" w:eastAsiaTheme="majorEastAsia"/>
                <w:kern w:val="0"/>
                <w:sz w:val="18"/>
                <w:szCs w:val="18"/>
              </w:rPr>
            </w:pPr>
          </w:p>
        </w:tc>
        <w:tc>
          <w:tcPr>
            <w:tcW w:w="851" w:type="dxa"/>
            <w:shd w:val="clear" w:color="auto" w:fill="auto"/>
            <w:vAlign w:val="center"/>
          </w:tcPr>
          <w:p>
            <w:pPr>
              <w:widowControl/>
              <w:spacing w:line="240" w:lineRule="auto"/>
              <w:jc w:val="center"/>
              <w:rPr>
                <w:rFonts w:asciiTheme="majorEastAsia" w:hAnsiTheme="majorEastAsia" w:eastAsiaTheme="majorEastAsia"/>
                <w:kern w:val="0"/>
                <w:sz w:val="18"/>
                <w:szCs w:val="18"/>
              </w:rPr>
            </w:pPr>
          </w:p>
        </w:tc>
        <w:tc>
          <w:tcPr>
            <w:tcW w:w="1762" w:type="dxa"/>
            <w:shd w:val="clear" w:color="auto" w:fill="auto"/>
            <w:vAlign w:val="center"/>
          </w:tcPr>
          <w:p>
            <w:pPr>
              <w:widowControl/>
              <w:spacing w:line="240" w:lineRule="auto"/>
              <w:jc w:val="center"/>
              <w:rPr>
                <w:rFonts w:asciiTheme="majorEastAsia" w:hAnsiTheme="majorEastAsia" w:eastAsiaTheme="maj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04" w:type="dxa"/>
            <w:shd w:val="clear" w:color="auto" w:fill="auto"/>
            <w:vAlign w:val="center"/>
          </w:tcPr>
          <w:p>
            <w:pPr>
              <w:widowControl/>
              <w:spacing w:line="240" w:lineRule="auto"/>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1</w:t>
            </w:r>
          </w:p>
        </w:tc>
        <w:tc>
          <w:tcPr>
            <w:tcW w:w="992" w:type="dxa"/>
            <w:shd w:val="clear" w:color="auto" w:fill="auto"/>
            <w:vAlign w:val="center"/>
          </w:tcPr>
          <w:p>
            <w:pPr>
              <w:widowControl/>
              <w:spacing w:line="240" w:lineRule="auto"/>
              <w:jc w:val="center"/>
              <w:rPr>
                <w:rFonts w:cs="宋体" w:asciiTheme="majorEastAsia" w:hAnsiTheme="majorEastAsia" w:eastAsiaTheme="majorEastAsia"/>
                <w:color w:val="000000"/>
                <w:kern w:val="0"/>
                <w:sz w:val="18"/>
                <w:szCs w:val="18"/>
              </w:rPr>
            </w:pPr>
            <w:r>
              <w:rPr>
                <w:rFonts w:hint="eastAsia" w:cs="宋体" w:asciiTheme="majorEastAsia" w:hAnsiTheme="majorEastAsia" w:eastAsiaTheme="majorEastAsia"/>
                <w:color w:val="000000"/>
                <w:kern w:val="0"/>
                <w:sz w:val="18"/>
                <w:szCs w:val="18"/>
              </w:rPr>
              <w:t>盘州市</w:t>
            </w:r>
          </w:p>
        </w:tc>
        <w:tc>
          <w:tcPr>
            <w:tcW w:w="156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万家口子旅游航道建设工程</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六级航道17.5km，停靠点10个及支持保障系统</w:t>
            </w:r>
          </w:p>
        </w:tc>
        <w:tc>
          <w:tcPr>
            <w:tcW w:w="1276"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2024—2026</w:t>
            </w:r>
          </w:p>
        </w:tc>
        <w:tc>
          <w:tcPr>
            <w:tcW w:w="1193" w:type="dxa"/>
            <w:vAlign w:val="center"/>
          </w:tcPr>
          <w:p>
            <w:pPr>
              <w:widowControl/>
              <w:spacing w:line="240" w:lineRule="auto"/>
              <w:jc w:val="center"/>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8500</w:t>
            </w:r>
          </w:p>
        </w:tc>
        <w:tc>
          <w:tcPr>
            <w:tcW w:w="791"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5000</w:t>
            </w: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5000</w:t>
            </w:r>
          </w:p>
        </w:tc>
        <w:tc>
          <w:tcPr>
            <w:tcW w:w="851"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10</w:t>
            </w: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56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六级</w:t>
            </w:r>
          </w:p>
        </w:tc>
        <w:tc>
          <w:tcPr>
            <w:tcW w:w="851"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17.5</w:t>
            </w:r>
          </w:p>
        </w:tc>
        <w:tc>
          <w:tcPr>
            <w:tcW w:w="1762" w:type="dxa"/>
            <w:shd w:val="clear" w:color="auto" w:fill="auto"/>
            <w:vAlign w:val="center"/>
          </w:tcPr>
          <w:p>
            <w:pPr>
              <w:widowControl/>
              <w:spacing w:line="240" w:lineRule="auto"/>
              <w:jc w:val="center"/>
              <w:rPr>
                <w:rFonts w:asciiTheme="majorEastAsia" w:hAnsiTheme="majorEastAsia" w:eastAsiaTheme="maj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15" w:type="dxa"/>
            <w:gridSpan w:val="4"/>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asciiTheme="majorEastAsia" w:hAnsiTheme="majorEastAsia" w:eastAsiaTheme="majorEastAsia"/>
                <w:b/>
                <w:bCs/>
                <w:color w:val="000000"/>
                <w:kern w:val="0"/>
                <w:sz w:val="18"/>
                <w:szCs w:val="18"/>
              </w:rPr>
              <w:t>“</w:t>
            </w:r>
            <w:r>
              <w:rPr>
                <w:rFonts w:hint="eastAsia" w:cs="宋体" w:asciiTheme="majorEastAsia" w:hAnsiTheme="majorEastAsia" w:eastAsiaTheme="majorEastAsia"/>
                <w:b/>
                <w:bCs/>
                <w:color w:val="000000"/>
                <w:kern w:val="0"/>
                <w:sz w:val="18"/>
                <w:szCs w:val="18"/>
              </w:rPr>
              <w:t>十四五</w:t>
            </w:r>
            <w:r>
              <w:rPr>
                <w:rFonts w:asciiTheme="majorEastAsia" w:hAnsiTheme="majorEastAsia" w:eastAsiaTheme="majorEastAsia"/>
                <w:b/>
                <w:bCs/>
                <w:color w:val="000000"/>
                <w:kern w:val="0"/>
                <w:sz w:val="18"/>
                <w:szCs w:val="18"/>
              </w:rPr>
              <w:t>”</w:t>
            </w:r>
            <w:r>
              <w:rPr>
                <w:rFonts w:hint="eastAsia" w:cs="宋体" w:asciiTheme="majorEastAsia" w:hAnsiTheme="majorEastAsia" w:eastAsiaTheme="majorEastAsia"/>
                <w:b/>
                <w:bCs/>
                <w:color w:val="000000"/>
                <w:kern w:val="0"/>
                <w:sz w:val="18"/>
                <w:szCs w:val="18"/>
              </w:rPr>
              <w:t>储备项目</w:t>
            </w:r>
          </w:p>
        </w:tc>
        <w:tc>
          <w:tcPr>
            <w:tcW w:w="1276"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1193" w:type="dxa"/>
            <w:vAlign w:val="center"/>
          </w:tcPr>
          <w:p>
            <w:pPr>
              <w:widowControl/>
              <w:spacing w:line="240" w:lineRule="auto"/>
              <w:jc w:val="center"/>
              <w:rPr>
                <w:rFonts w:cs="宋体" w:asciiTheme="majorEastAsia" w:hAnsiTheme="majorEastAsia" w:eastAsiaTheme="majorEastAsia"/>
                <w:b/>
                <w:bCs/>
                <w:kern w:val="0"/>
                <w:sz w:val="18"/>
                <w:szCs w:val="18"/>
              </w:rPr>
            </w:pPr>
            <w:r>
              <w:rPr>
                <w:rFonts w:cs="宋体" w:asciiTheme="majorEastAsia" w:hAnsiTheme="majorEastAsia" w:eastAsiaTheme="majorEastAsia"/>
                <w:b/>
                <w:bCs/>
                <w:kern w:val="0"/>
                <w:sz w:val="18"/>
                <w:szCs w:val="18"/>
              </w:rPr>
              <w:t>2860</w:t>
            </w:r>
          </w:p>
        </w:tc>
        <w:tc>
          <w:tcPr>
            <w:tcW w:w="791"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1"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56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1"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1762" w:type="dxa"/>
            <w:shd w:val="clear" w:color="auto" w:fill="auto"/>
            <w:vAlign w:val="center"/>
          </w:tcPr>
          <w:p>
            <w:pPr>
              <w:widowControl/>
              <w:spacing w:line="240" w:lineRule="auto"/>
              <w:jc w:val="center"/>
              <w:rPr>
                <w:rFonts w:asciiTheme="majorEastAsia" w:hAnsiTheme="majorEastAsia" w:eastAsiaTheme="maj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704" w:type="dxa"/>
            <w:shd w:val="clear" w:color="auto" w:fill="auto"/>
            <w:vAlign w:val="center"/>
          </w:tcPr>
          <w:p>
            <w:pPr>
              <w:widowControl/>
              <w:spacing w:line="240" w:lineRule="auto"/>
              <w:jc w:val="center"/>
              <w:rPr>
                <w:rFonts w:asciiTheme="majorEastAsia" w:hAnsiTheme="majorEastAsia" w:eastAsiaTheme="majorEastAsia"/>
                <w:color w:val="000000"/>
                <w:kern w:val="0"/>
                <w:sz w:val="18"/>
                <w:szCs w:val="18"/>
              </w:rPr>
            </w:pPr>
            <w:r>
              <w:rPr>
                <w:rFonts w:hint="eastAsia" w:asciiTheme="majorEastAsia" w:hAnsiTheme="majorEastAsia" w:eastAsiaTheme="majorEastAsia"/>
                <w:color w:val="000000"/>
                <w:kern w:val="0"/>
                <w:sz w:val="18"/>
                <w:szCs w:val="18"/>
              </w:rPr>
              <w:t>1</w:t>
            </w:r>
          </w:p>
        </w:tc>
        <w:tc>
          <w:tcPr>
            <w:tcW w:w="992" w:type="dxa"/>
            <w:shd w:val="clear" w:color="auto" w:fill="auto"/>
            <w:vAlign w:val="center"/>
          </w:tcPr>
          <w:p>
            <w:pPr>
              <w:widowControl/>
              <w:spacing w:line="240" w:lineRule="auto"/>
              <w:jc w:val="center"/>
              <w:rPr>
                <w:rFonts w:cs="宋体" w:asciiTheme="majorEastAsia" w:hAnsiTheme="majorEastAsia" w:eastAsiaTheme="majorEastAsia"/>
                <w:color w:val="000000"/>
                <w:kern w:val="0"/>
                <w:sz w:val="18"/>
                <w:szCs w:val="18"/>
              </w:rPr>
            </w:pPr>
            <w:r>
              <w:rPr>
                <w:rFonts w:hint="eastAsia" w:cs="宋体" w:asciiTheme="majorEastAsia" w:hAnsiTheme="majorEastAsia" w:eastAsiaTheme="majorEastAsia"/>
                <w:color w:val="000000"/>
                <w:kern w:val="0"/>
                <w:sz w:val="18"/>
                <w:szCs w:val="18"/>
              </w:rPr>
              <w:t>六枝特区</w:t>
            </w:r>
          </w:p>
        </w:tc>
        <w:tc>
          <w:tcPr>
            <w:tcW w:w="156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牂牁镇便民码头</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1276"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w:t>
            </w:r>
            <w:r>
              <w:rPr>
                <w:rFonts w:cs="宋体" w:asciiTheme="majorEastAsia" w:hAnsiTheme="majorEastAsia" w:eastAsiaTheme="majorEastAsia"/>
                <w:kern w:val="0"/>
                <w:sz w:val="18"/>
                <w:szCs w:val="18"/>
              </w:rPr>
              <w:t>024-2026</w:t>
            </w:r>
          </w:p>
        </w:tc>
        <w:tc>
          <w:tcPr>
            <w:tcW w:w="1193" w:type="dxa"/>
            <w:vAlign w:val="center"/>
          </w:tcPr>
          <w:p>
            <w:pPr>
              <w:widowControl/>
              <w:spacing w:line="240" w:lineRule="auto"/>
              <w:jc w:val="center"/>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500</w:t>
            </w:r>
          </w:p>
        </w:tc>
        <w:tc>
          <w:tcPr>
            <w:tcW w:w="791"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1"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56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1"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1762" w:type="dxa"/>
            <w:shd w:val="clear" w:color="auto" w:fill="auto"/>
            <w:vAlign w:val="center"/>
          </w:tcPr>
          <w:p>
            <w:pPr>
              <w:widowControl/>
              <w:spacing w:line="240" w:lineRule="auto"/>
              <w:jc w:val="center"/>
              <w:rPr>
                <w:rFonts w:asciiTheme="majorEastAsia" w:hAnsiTheme="majorEastAsia" w:eastAsiaTheme="maj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4" w:type="dxa"/>
            <w:shd w:val="clear" w:color="auto" w:fill="auto"/>
            <w:vAlign w:val="center"/>
          </w:tcPr>
          <w:p>
            <w:pPr>
              <w:widowControl/>
              <w:spacing w:line="240" w:lineRule="auto"/>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2</w:t>
            </w:r>
          </w:p>
        </w:tc>
        <w:tc>
          <w:tcPr>
            <w:tcW w:w="992" w:type="dxa"/>
            <w:shd w:val="clear" w:color="auto" w:fill="auto"/>
            <w:vAlign w:val="center"/>
          </w:tcPr>
          <w:p>
            <w:pPr>
              <w:widowControl/>
              <w:spacing w:line="240" w:lineRule="auto"/>
              <w:jc w:val="center"/>
              <w:rPr>
                <w:rFonts w:cs="宋体" w:asciiTheme="majorEastAsia" w:hAnsiTheme="majorEastAsia" w:eastAsiaTheme="majorEastAsia"/>
                <w:color w:val="000000"/>
                <w:kern w:val="0"/>
                <w:sz w:val="18"/>
                <w:szCs w:val="18"/>
              </w:rPr>
            </w:pPr>
            <w:r>
              <w:rPr>
                <w:rFonts w:hint="eastAsia" w:cs="宋体" w:asciiTheme="majorEastAsia" w:hAnsiTheme="majorEastAsia" w:eastAsiaTheme="majorEastAsia"/>
                <w:color w:val="000000"/>
                <w:kern w:val="0"/>
                <w:sz w:val="18"/>
                <w:szCs w:val="18"/>
              </w:rPr>
              <w:t>六枝特区</w:t>
            </w:r>
          </w:p>
        </w:tc>
        <w:tc>
          <w:tcPr>
            <w:tcW w:w="156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龙河镇便民码头</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1276"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w:t>
            </w:r>
            <w:r>
              <w:rPr>
                <w:rFonts w:cs="宋体" w:asciiTheme="majorEastAsia" w:hAnsiTheme="majorEastAsia" w:eastAsiaTheme="majorEastAsia"/>
                <w:kern w:val="0"/>
                <w:sz w:val="18"/>
                <w:szCs w:val="18"/>
              </w:rPr>
              <w:t>024-2026</w:t>
            </w:r>
          </w:p>
        </w:tc>
        <w:tc>
          <w:tcPr>
            <w:tcW w:w="1193" w:type="dxa"/>
            <w:vAlign w:val="center"/>
          </w:tcPr>
          <w:p>
            <w:pPr>
              <w:widowControl/>
              <w:spacing w:line="240" w:lineRule="auto"/>
              <w:jc w:val="center"/>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500</w:t>
            </w:r>
          </w:p>
        </w:tc>
        <w:tc>
          <w:tcPr>
            <w:tcW w:w="791"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1"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56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1"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1762" w:type="dxa"/>
            <w:shd w:val="clear" w:color="auto" w:fill="auto"/>
            <w:vAlign w:val="center"/>
          </w:tcPr>
          <w:p>
            <w:pPr>
              <w:widowControl/>
              <w:spacing w:line="240" w:lineRule="auto"/>
              <w:jc w:val="center"/>
              <w:rPr>
                <w:rFonts w:asciiTheme="majorEastAsia" w:hAnsiTheme="majorEastAsia" w:eastAsiaTheme="maj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04" w:type="dxa"/>
            <w:shd w:val="clear" w:color="auto" w:fill="auto"/>
            <w:vAlign w:val="center"/>
          </w:tcPr>
          <w:p>
            <w:pPr>
              <w:widowControl/>
              <w:spacing w:line="240" w:lineRule="auto"/>
              <w:jc w:val="center"/>
              <w:rPr>
                <w:rFonts w:asciiTheme="majorEastAsia" w:hAnsiTheme="majorEastAsia" w:eastAsiaTheme="majorEastAsia"/>
                <w:color w:val="000000"/>
                <w:kern w:val="0"/>
                <w:sz w:val="18"/>
                <w:szCs w:val="18"/>
              </w:rPr>
            </w:pPr>
            <w:r>
              <w:rPr>
                <w:rFonts w:hint="eastAsia" w:asciiTheme="majorEastAsia" w:hAnsiTheme="majorEastAsia" w:eastAsiaTheme="majorEastAsia"/>
                <w:color w:val="000000"/>
                <w:kern w:val="0"/>
                <w:sz w:val="18"/>
                <w:szCs w:val="18"/>
              </w:rPr>
              <w:t>3</w:t>
            </w:r>
          </w:p>
        </w:tc>
        <w:tc>
          <w:tcPr>
            <w:tcW w:w="992" w:type="dxa"/>
            <w:shd w:val="clear" w:color="auto" w:fill="auto"/>
            <w:vAlign w:val="center"/>
          </w:tcPr>
          <w:p>
            <w:pPr>
              <w:widowControl/>
              <w:spacing w:line="240" w:lineRule="auto"/>
              <w:jc w:val="center"/>
              <w:rPr>
                <w:rFonts w:cs="宋体" w:asciiTheme="majorEastAsia" w:hAnsiTheme="majorEastAsia" w:eastAsiaTheme="majorEastAsia"/>
                <w:color w:val="000000"/>
                <w:kern w:val="0"/>
                <w:sz w:val="18"/>
                <w:szCs w:val="18"/>
              </w:rPr>
            </w:pPr>
            <w:r>
              <w:rPr>
                <w:rFonts w:hint="eastAsia" w:cs="宋体" w:asciiTheme="majorEastAsia" w:hAnsiTheme="majorEastAsia" w:eastAsiaTheme="majorEastAsia"/>
                <w:color w:val="000000"/>
                <w:kern w:val="0"/>
                <w:sz w:val="18"/>
                <w:szCs w:val="18"/>
              </w:rPr>
              <w:t>六枝特区</w:t>
            </w:r>
          </w:p>
        </w:tc>
        <w:tc>
          <w:tcPr>
            <w:tcW w:w="156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北盘江停靠点及相关设施</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1276"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1193" w:type="dxa"/>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w:t>
            </w:r>
            <w:r>
              <w:rPr>
                <w:rFonts w:cs="宋体" w:asciiTheme="majorEastAsia" w:hAnsiTheme="majorEastAsia" w:eastAsiaTheme="majorEastAsia"/>
                <w:kern w:val="0"/>
                <w:sz w:val="18"/>
                <w:szCs w:val="18"/>
              </w:rPr>
              <w:t>260</w:t>
            </w:r>
          </w:p>
        </w:tc>
        <w:tc>
          <w:tcPr>
            <w:tcW w:w="791"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1"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56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1"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1762" w:type="dxa"/>
            <w:shd w:val="clear" w:color="auto" w:fill="auto"/>
            <w:vAlign w:val="center"/>
          </w:tcPr>
          <w:p>
            <w:pPr>
              <w:widowControl/>
              <w:spacing w:line="240" w:lineRule="auto"/>
              <w:jc w:val="center"/>
              <w:rPr>
                <w:rFonts w:asciiTheme="majorEastAsia" w:hAnsiTheme="majorEastAsia" w:eastAsiaTheme="majorEastAsia"/>
                <w:color w:val="000000"/>
                <w:kern w:val="0"/>
                <w:sz w:val="18"/>
                <w:szCs w:val="18"/>
              </w:rPr>
            </w:pPr>
            <w:r>
              <w:rPr>
                <w:rFonts w:hint="eastAsia" w:asciiTheme="majorEastAsia" w:hAnsiTheme="majorEastAsia" w:eastAsiaTheme="majorEastAsia"/>
                <w:color w:val="000000"/>
                <w:kern w:val="0"/>
                <w:sz w:val="18"/>
                <w:szCs w:val="18"/>
              </w:rPr>
              <w:t>包含管理办公、码头充电、污油储存、船舶检修、信息化工程等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04" w:type="dxa"/>
            <w:shd w:val="clear" w:color="auto" w:fill="auto"/>
            <w:vAlign w:val="center"/>
          </w:tcPr>
          <w:p>
            <w:pPr>
              <w:widowControl/>
              <w:spacing w:line="240" w:lineRule="auto"/>
              <w:jc w:val="center"/>
              <w:rPr>
                <w:rFonts w:asciiTheme="majorEastAsia" w:hAnsiTheme="majorEastAsia" w:eastAsiaTheme="majorEastAsia"/>
                <w:color w:val="000000"/>
                <w:kern w:val="0"/>
                <w:sz w:val="18"/>
                <w:szCs w:val="18"/>
              </w:rPr>
            </w:pPr>
            <w:r>
              <w:rPr>
                <w:rFonts w:hint="eastAsia" w:asciiTheme="majorEastAsia" w:hAnsiTheme="majorEastAsia" w:eastAsiaTheme="majorEastAsia"/>
                <w:color w:val="000000"/>
                <w:kern w:val="0"/>
                <w:sz w:val="18"/>
                <w:szCs w:val="18"/>
              </w:rPr>
              <w:t>4</w:t>
            </w:r>
          </w:p>
        </w:tc>
        <w:tc>
          <w:tcPr>
            <w:tcW w:w="992" w:type="dxa"/>
            <w:shd w:val="clear" w:color="auto" w:fill="auto"/>
            <w:vAlign w:val="center"/>
          </w:tcPr>
          <w:p>
            <w:pPr>
              <w:widowControl/>
              <w:spacing w:line="240" w:lineRule="auto"/>
              <w:jc w:val="center"/>
              <w:rPr>
                <w:rFonts w:cs="宋体" w:asciiTheme="majorEastAsia" w:hAnsiTheme="majorEastAsia" w:eastAsiaTheme="majorEastAsia"/>
                <w:color w:val="000000"/>
                <w:kern w:val="0"/>
                <w:sz w:val="18"/>
                <w:szCs w:val="18"/>
              </w:rPr>
            </w:pPr>
            <w:r>
              <w:rPr>
                <w:rFonts w:hint="eastAsia" w:cs="宋体" w:asciiTheme="majorEastAsia" w:hAnsiTheme="majorEastAsia" w:eastAsiaTheme="majorEastAsia"/>
                <w:color w:val="000000"/>
                <w:kern w:val="0"/>
                <w:sz w:val="18"/>
                <w:szCs w:val="18"/>
              </w:rPr>
              <w:t>六枝特区</w:t>
            </w:r>
          </w:p>
        </w:tc>
        <w:tc>
          <w:tcPr>
            <w:tcW w:w="156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违法违规船舶稽查点</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3处</w:t>
            </w:r>
          </w:p>
        </w:tc>
        <w:tc>
          <w:tcPr>
            <w:tcW w:w="1276"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1193" w:type="dxa"/>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6</w:t>
            </w:r>
            <w:r>
              <w:rPr>
                <w:rFonts w:cs="宋体" w:asciiTheme="majorEastAsia" w:hAnsiTheme="majorEastAsia" w:eastAsiaTheme="majorEastAsia"/>
                <w:kern w:val="0"/>
                <w:sz w:val="18"/>
                <w:szCs w:val="18"/>
              </w:rPr>
              <w:t>00</w:t>
            </w:r>
          </w:p>
        </w:tc>
        <w:tc>
          <w:tcPr>
            <w:tcW w:w="791"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1"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56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1"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1762" w:type="dxa"/>
            <w:shd w:val="clear" w:color="auto" w:fill="auto"/>
            <w:vAlign w:val="center"/>
          </w:tcPr>
          <w:p>
            <w:pPr>
              <w:widowControl/>
              <w:spacing w:line="240" w:lineRule="auto"/>
              <w:jc w:val="center"/>
              <w:rPr>
                <w:rFonts w:asciiTheme="majorEastAsia" w:hAnsiTheme="majorEastAsia" w:eastAsiaTheme="majorEastAsia"/>
                <w:color w:val="000000"/>
                <w:kern w:val="0"/>
                <w:sz w:val="18"/>
                <w:szCs w:val="18"/>
              </w:rPr>
            </w:pPr>
            <w:r>
              <w:rPr>
                <w:rFonts w:hint="eastAsia" w:asciiTheme="majorEastAsia" w:hAnsiTheme="majorEastAsia" w:eastAsiaTheme="majorEastAsia"/>
                <w:color w:val="000000"/>
                <w:kern w:val="0"/>
                <w:sz w:val="18"/>
                <w:szCs w:val="18"/>
              </w:rPr>
              <w:t>牂牁镇、龙河镇、牛场乡各一处</w:t>
            </w:r>
          </w:p>
        </w:tc>
      </w:tr>
    </w:tbl>
    <w:p>
      <w:pPr>
        <w:rPr>
          <w:rFonts w:asciiTheme="majorEastAsia" w:hAnsiTheme="majorEastAsia" w:eastAsiaTheme="majorEastAsia"/>
          <w:szCs w:val="28"/>
        </w:rPr>
        <w:sectPr>
          <w:pgSz w:w="16838" w:h="11906" w:orient="landscape"/>
          <w:pgMar w:top="1800" w:right="1440" w:bottom="1800" w:left="1440" w:header="851" w:footer="992" w:gutter="0"/>
          <w:cols w:space="425" w:num="1"/>
          <w:docGrid w:type="lines" w:linePitch="381" w:charSpace="0"/>
        </w:sectPr>
      </w:pPr>
    </w:p>
    <w:p>
      <w:pPr>
        <w:keepNext/>
        <w:keepLines/>
        <w:spacing w:after="100" w:afterAutospacing="1"/>
        <w:outlineLvl w:val="0"/>
        <w:rPr>
          <w:rFonts w:cs="宋体" w:asciiTheme="majorEastAsia" w:hAnsiTheme="majorEastAsia" w:eastAsiaTheme="majorEastAsia"/>
          <w:b/>
          <w:bCs/>
          <w:kern w:val="44"/>
          <w:sz w:val="32"/>
          <w:szCs w:val="44"/>
        </w:rPr>
      </w:pPr>
      <w:bookmarkStart w:id="1008" w:name="_Toc89102219"/>
      <w:r>
        <w:rPr>
          <w:rFonts w:hint="eastAsia" w:cs="宋体" w:asciiTheme="majorEastAsia" w:hAnsiTheme="majorEastAsia" w:eastAsiaTheme="majorEastAsia"/>
          <w:b/>
          <w:bCs/>
          <w:kern w:val="44"/>
          <w:sz w:val="32"/>
          <w:szCs w:val="44"/>
        </w:rPr>
        <w:t>附表</w:t>
      </w:r>
      <w:r>
        <w:rPr>
          <w:rFonts w:asciiTheme="majorEastAsia" w:hAnsiTheme="majorEastAsia" w:eastAsiaTheme="majorEastAsia"/>
          <w:b/>
          <w:bCs/>
          <w:kern w:val="44"/>
          <w:sz w:val="32"/>
          <w:szCs w:val="44"/>
        </w:rPr>
        <w:t xml:space="preserve">6 </w:t>
      </w:r>
      <w:r>
        <w:rPr>
          <w:rFonts w:hint="eastAsia" w:asciiTheme="majorEastAsia" w:hAnsiTheme="majorEastAsia" w:eastAsiaTheme="majorEastAsia"/>
          <w:b/>
          <w:bCs/>
          <w:kern w:val="44"/>
          <w:sz w:val="32"/>
          <w:szCs w:val="44"/>
        </w:rPr>
        <w:t xml:space="preserve"> </w:t>
      </w:r>
      <w:r>
        <w:rPr>
          <w:rFonts w:hint="eastAsia" w:cs="宋体" w:asciiTheme="majorEastAsia" w:hAnsiTheme="majorEastAsia" w:eastAsiaTheme="majorEastAsia"/>
          <w:b/>
          <w:bCs/>
          <w:kern w:val="44"/>
          <w:sz w:val="32"/>
          <w:szCs w:val="44"/>
        </w:rPr>
        <w:t>六盘水市</w:t>
      </w:r>
      <w:r>
        <w:rPr>
          <w:rFonts w:asciiTheme="majorEastAsia" w:hAnsiTheme="majorEastAsia" w:eastAsiaTheme="majorEastAsia"/>
          <w:b/>
          <w:bCs/>
          <w:kern w:val="44"/>
          <w:sz w:val="32"/>
          <w:szCs w:val="44"/>
        </w:rPr>
        <w:t>“</w:t>
      </w:r>
      <w:r>
        <w:rPr>
          <w:rFonts w:hint="eastAsia" w:cs="宋体" w:asciiTheme="majorEastAsia" w:hAnsiTheme="majorEastAsia" w:eastAsiaTheme="majorEastAsia"/>
          <w:b/>
          <w:bCs/>
          <w:kern w:val="44"/>
          <w:sz w:val="32"/>
          <w:szCs w:val="44"/>
        </w:rPr>
        <w:t>十四五</w:t>
      </w:r>
      <w:r>
        <w:rPr>
          <w:rFonts w:asciiTheme="majorEastAsia" w:hAnsiTheme="majorEastAsia" w:eastAsiaTheme="majorEastAsia"/>
          <w:b/>
          <w:bCs/>
          <w:kern w:val="44"/>
          <w:sz w:val="32"/>
          <w:szCs w:val="44"/>
        </w:rPr>
        <w:t>”</w:t>
      </w:r>
      <w:r>
        <w:rPr>
          <w:rFonts w:hint="eastAsia" w:cs="宋体" w:asciiTheme="majorEastAsia" w:hAnsiTheme="majorEastAsia" w:eastAsiaTheme="majorEastAsia"/>
          <w:b/>
          <w:bCs/>
          <w:kern w:val="44"/>
          <w:sz w:val="32"/>
          <w:szCs w:val="44"/>
        </w:rPr>
        <w:t>枢纽场站建设项目表</w:t>
      </w:r>
      <w:bookmarkEnd w:id="1008"/>
    </w:p>
    <w:tbl>
      <w:tblPr>
        <w:tblStyle w:val="19"/>
        <w:tblW w:w="13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984"/>
        <w:gridCol w:w="2977"/>
        <w:gridCol w:w="709"/>
        <w:gridCol w:w="1559"/>
        <w:gridCol w:w="992"/>
        <w:gridCol w:w="990"/>
        <w:gridCol w:w="853"/>
        <w:gridCol w:w="850"/>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vMerge w:val="restart"/>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序号</w:t>
            </w:r>
          </w:p>
        </w:tc>
        <w:tc>
          <w:tcPr>
            <w:tcW w:w="1984" w:type="dxa"/>
            <w:vMerge w:val="restart"/>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项目所在地</w:t>
            </w:r>
          </w:p>
        </w:tc>
        <w:tc>
          <w:tcPr>
            <w:tcW w:w="2977" w:type="dxa"/>
            <w:vMerge w:val="restart"/>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项目名称</w:t>
            </w:r>
          </w:p>
        </w:tc>
        <w:tc>
          <w:tcPr>
            <w:tcW w:w="709" w:type="dxa"/>
            <w:vMerge w:val="restart"/>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建设性质</w:t>
            </w:r>
          </w:p>
        </w:tc>
        <w:tc>
          <w:tcPr>
            <w:tcW w:w="1559" w:type="dxa"/>
            <w:vMerge w:val="restart"/>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规划等级</w:t>
            </w:r>
          </w:p>
        </w:tc>
        <w:tc>
          <w:tcPr>
            <w:tcW w:w="992" w:type="dxa"/>
            <w:vMerge w:val="restart"/>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建设规模</w:t>
            </w:r>
            <w:r>
              <w:rPr>
                <w:rFonts w:asciiTheme="majorEastAsia" w:hAnsiTheme="majorEastAsia" w:eastAsiaTheme="majorEastAsia"/>
                <w:b/>
                <w:bCs/>
                <w:kern w:val="0"/>
                <w:sz w:val="18"/>
                <w:szCs w:val="18"/>
              </w:rPr>
              <w:t>(</w:t>
            </w:r>
            <w:r>
              <w:rPr>
                <w:rFonts w:hint="eastAsia" w:cs="宋体" w:asciiTheme="majorEastAsia" w:hAnsiTheme="majorEastAsia" w:eastAsiaTheme="majorEastAsia"/>
                <w:b/>
                <w:bCs/>
                <w:kern w:val="0"/>
                <w:sz w:val="18"/>
                <w:szCs w:val="18"/>
              </w:rPr>
              <w:t>平方米</w:t>
            </w:r>
            <w:r>
              <w:rPr>
                <w:rFonts w:asciiTheme="majorEastAsia" w:hAnsiTheme="majorEastAsia" w:eastAsiaTheme="majorEastAsia"/>
                <w:b/>
                <w:bCs/>
                <w:kern w:val="0"/>
                <w:sz w:val="18"/>
                <w:szCs w:val="18"/>
              </w:rPr>
              <w:t>)</w:t>
            </w:r>
          </w:p>
        </w:tc>
        <w:tc>
          <w:tcPr>
            <w:tcW w:w="990" w:type="dxa"/>
            <w:vMerge w:val="restart"/>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投资估算</w:t>
            </w:r>
            <w:r>
              <w:rPr>
                <w:rFonts w:asciiTheme="majorEastAsia" w:hAnsiTheme="majorEastAsia" w:eastAsiaTheme="majorEastAsia"/>
                <w:b/>
                <w:bCs/>
                <w:kern w:val="0"/>
                <w:sz w:val="18"/>
                <w:szCs w:val="18"/>
              </w:rPr>
              <w:t>(</w:t>
            </w:r>
            <w:r>
              <w:rPr>
                <w:rFonts w:hint="eastAsia" w:cs="宋体" w:asciiTheme="majorEastAsia" w:hAnsiTheme="majorEastAsia" w:eastAsiaTheme="majorEastAsia"/>
                <w:b/>
                <w:bCs/>
                <w:kern w:val="0"/>
                <w:sz w:val="18"/>
                <w:szCs w:val="18"/>
              </w:rPr>
              <w:t>万元</w:t>
            </w:r>
            <w:r>
              <w:rPr>
                <w:rFonts w:asciiTheme="majorEastAsia" w:hAnsiTheme="majorEastAsia" w:eastAsiaTheme="majorEastAsia"/>
                <w:b/>
                <w:bCs/>
                <w:kern w:val="0"/>
                <w:sz w:val="18"/>
                <w:szCs w:val="18"/>
              </w:rPr>
              <w:t>)</w:t>
            </w:r>
          </w:p>
        </w:tc>
        <w:tc>
          <w:tcPr>
            <w:tcW w:w="1703" w:type="dxa"/>
            <w:gridSpan w:val="2"/>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“十四五”计划投资（万元）</w:t>
            </w:r>
          </w:p>
        </w:tc>
        <w:tc>
          <w:tcPr>
            <w:tcW w:w="993" w:type="dxa"/>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555" w:type="dxa"/>
            <w:vMerge w:val="continue"/>
            <w:vAlign w:val="center"/>
          </w:tcPr>
          <w:p>
            <w:pPr>
              <w:widowControl/>
              <w:spacing w:line="240" w:lineRule="auto"/>
              <w:jc w:val="center"/>
              <w:rPr>
                <w:rFonts w:cs="宋体" w:asciiTheme="majorEastAsia" w:hAnsiTheme="majorEastAsia" w:eastAsiaTheme="majorEastAsia"/>
                <w:b/>
                <w:bCs/>
                <w:kern w:val="0"/>
                <w:sz w:val="18"/>
                <w:szCs w:val="18"/>
              </w:rPr>
            </w:pPr>
          </w:p>
        </w:tc>
        <w:tc>
          <w:tcPr>
            <w:tcW w:w="1984" w:type="dxa"/>
            <w:vMerge w:val="continue"/>
            <w:vAlign w:val="center"/>
          </w:tcPr>
          <w:p>
            <w:pPr>
              <w:widowControl/>
              <w:spacing w:line="240" w:lineRule="auto"/>
              <w:jc w:val="center"/>
              <w:rPr>
                <w:rFonts w:cs="宋体" w:asciiTheme="majorEastAsia" w:hAnsiTheme="majorEastAsia" w:eastAsiaTheme="majorEastAsia"/>
                <w:b/>
                <w:bCs/>
                <w:kern w:val="0"/>
                <w:sz w:val="18"/>
                <w:szCs w:val="18"/>
              </w:rPr>
            </w:pPr>
          </w:p>
        </w:tc>
        <w:tc>
          <w:tcPr>
            <w:tcW w:w="2977" w:type="dxa"/>
            <w:vMerge w:val="continue"/>
            <w:vAlign w:val="center"/>
          </w:tcPr>
          <w:p>
            <w:pPr>
              <w:widowControl/>
              <w:spacing w:line="240" w:lineRule="auto"/>
              <w:jc w:val="center"/>
              <w:rPr>
                <w:rFonts w:cs="宋体" w:asciiTheme="majorEastAsia" w:hAnsiTheme="majorEastAsia" w:eastAsiaTheme="majorEastAsia"/>
                <w:b/>
                <w:bCs/>
                <w:kern w:val="0"/>
                <w:sz w:val="18"/>
                <w:szCs w:val="18"/>
              </w:rPr>
            </w:pPr>
          </w:p>
        </w:tc>
        <w:tc>
          <w:tcPr>
            <w:tcW w:w="709" w:type="dxa"/>
            <w:vMerge w:val="continue"/>
            <w:vAlign w:val="center"/>
          </w:tcPr>
          <w:p>
            <w:pPr>
              <w:widowControl/>
              <w:spacing w:line="240" w:lineRule="auto"/>
              <w:jc w:val="center"/>
              <w:rPr>
                <w:rFonts w:cs="宋体" w:asciiTheme="majorEastAsia" w:hAnsiTheme="majorEastAsia" w:eastAsiaTheme="majorEastAsia"/>
                <w:b/>
                <w:bCs/>
                <w:kern w:val="0"/>
                <w:sz w:val="18"/>
                <w:szCs w:val="18"/>
              </w:rPr>
            </w:pPr>
          </w:p>
        </w:tc>
        <w:tc>
          <w:tcPr>
            <w:tcW w:w="1559" w:type="dxa"/>
            <w:vMerge w:val="continue"/>
            <w:vAlign w:val="center"/>
          </w:tcPr>
          <w:p>
            <w:pPr>
              <w:widowControl/>
              <w:spacing w:line="240" w:lineRule="auto"/>
              <w:jc w:val="center"/>
              <w:rPr>
                <w:rFonts w:cs="宋体" w:asciiTheme="majorEastAsia" w:hAnsiTheme="majorEastAsia" w:eastAsiaTheme="majorEastAsia"/>
                <w:b/>
                <w:bCs/>
                <w:kern w:val="0"/>
                <w:sz w:val="18"/>
                <w:szCs w:val="18"/>
              </w:rPr>
            </w:pPr>
          </w:p>
        </w:tc>
        <w:tc>
          <w:tcPr>
            <w:tcW w:w="992" w:type="dxa"/>
            <w:vMerge w:val="continue"/>
            <w:vAlign w:val="center"/>
          </w:tcPr>
          <w:p>
            <w:pPr>
              <w:widowControl/>
              <w:spacing w:line="240" w:lineRule="auto"/>
              <w:jc w:val="center"/>
              <w:rPr>
                <w:rFonts w:cs="宋体" w:asciiTheme="majorEastAsia" w:hAnsiTheme="majorEastAsia" w:eastAsiaTheme="majorEastAsia"/>
                <w:b/>
                <w:bCs/>
                <w:kern w:val="0"/>
                <w:sz w:val="18"/>
                <w:szCs w:val="18"/>
              </w:rPr>
            </w:pPr>
          </w:p>
        </w:tc>
        <w:tc>
          <w:tcPr>
            <w:tcW w:w="990" w:type="dxa"/>
            <w:vMerge w:val="continue"/>
            <w:vAlign w:val="center"/>
          </w:tcPr>
          <w:p>
            <w:pPr>
              <w:widowControl/>
              <w:spacing w:line="240" w:lineRule="auto"/>
              <w:jc w:val="center"/>
              <w:rPr>
                <w:rFonts w:cs="宋体" w:asciiTheme="majorEastAsia" w:hAnsiTheme="majorEastAsia" w:eastAsiaTheme="majorEastAsia"/>
                <w:b/>
                <w:bCs/>
                <w:kern w:val="0"/>
                <w:sz w:val="18"/>
                <w:szCs w:val="18"/>
              </w:rPr>
            </w:pPr>
          </w:p>
        </w:tc>
        <w:tc>
          <w:tcPr>
            <w:tcW w:w="853" w:type="dxa"/>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总投资</w:t>
            </w:r>
          </w:p>
        </w:tc>
        <w:tc>
          <w:tcPr>
            <w:tcW w:w="850" w:type="dxa"/>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补助</w:t>
            </w:r>
          </w:p>
        </w:tc>
        <w:tc>
          <w:tcPr>
            <w:tcW w:w="993" w:type="dxa"/>
            <w:vAlign w:val="center"/>
          </w:tcPr>
          <w:p>
            <w:pPr>
              <w:widowControl/>
              <w:spacing w:line="240" w:lineRule="auto"/>
              <w:jc w:val="center"/>
              <w:rPr>
                <w:rFonts w:cs="宋体" w:asciiTheme="majorEastAsia" w:hAnsiTheme="majorEastAsia" w:eastAsiaTheme="majorEastAsia"/>
                <w:b/>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776" w:type="dxa"/>
            <w:gridSpan w:val="6"/>
            <w:shd w:val="clear" w:color="auto" w:fill="auto"/>
            <w:vAlign w:val="center"/>
          </w:tcPr>
          <w:p>
            <w:pPr>
              <w:widowControl/>
              <w:spacing w:line="240" w:lineRule="auto"/>
              <w:jc w:val="center"/>
              <w:rPr>
                <w:rFonts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合计</w:t>
            </w:r>
          </w:p>
        </w:tc>
        <w:tc>
          <w:tcPr>
            <w:tcW w:w="990" w:type="dxa"/>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cs="宋体" w:asciiTheme="majorEastAsia" w:hAnsiTheme="majorEastAsia" w:eastAsiaTheme="majorEastAsia"/>
                <w:b/>
                <w:bCs/>
                <w:kern w:val="0"/>
                <w:sz w:val="18"/>
                <w:szCs w:val="18"/>
              </w:rPr>
              <w:t>193701</w:t>
            </w:r>
          </w:p>
        </w:tc>
        <w:tc>
          <w:tcPr>
            <w:tcW w:w="853" w:type="dxa"/>
            <w:vAlign w:val="center"/>
          </w:tcPr>
          <w:p>
            <w:pPr>
              <w:widowControl/>
              <w:spacing w:line="240" w:lineRule="auto"/>
              <w:jc w:val="center"/>
              <w:rPr>
                <w:rFonts w:cs="宋体" w:asciiTheme="majorEastAsia" w:hAnsiTheme="majorEastAsia" w:eastAsiaTheme="majorEastAsia"/>
                <w:b/>
                <w:bCs/>
                <w:kern w:val="0"/>
                <w:sz w:val="18"/>
                <w:szCs w:val="18"/>
              </w:rPr>
            </w:pPr>
            <w:r>
              <w:rPr>
                <w:rFonts w:cs="宋体" w:asciiTheme="majorEastAsia" w:hAnsiTheme="majorEastAsia" w:eastAsiaTheme="majorEastAsia"/>
                <w:b/>
                <w:bCs/>
                <w:kern w:val="0"/>
                <w:sz w:val="18"/>
                <w:szCs w:val="18"/>
              </w:rPr>
              <w:t>33475</w:t>
            </w:r>
          </w:p>
        </w:tc>
        <w:tc>
          <w:tcPr>
            <w:tcW w:w="850" w:type="dxa"/>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cs="宋体" w:asciiTheme="majorEastAsia" w:hAnsiTheme="majorEastAsia" w:eastAsiaTheme="majorEastAsia"/>
                <w:b/>
                <w:bCs/>
                <w:kern w:val="0"/>
                <w:sz w:val="18"/>
                <w:szCs w:val="18"/>
              </w:rPr>
              <w:t>8000</w:t>
            </w:r>
          </w:p>
        </w:tc>
        <w:tc>
          <w:tcPr>
            <w:tcW w:w="993" w:type="dxa"/>
            <w:shd w:val="clear" w:color="auto" w:fill="auto"/>
            <w:vAlign w:val="center"/>
          </w:tcPr>
          <w:p>
            <w:pPr>
              <w:widowControl/>
              <w:spacing w:line="240" w:lineRule="auto"/>
              <w:jc w:val="center"/>
              <w:rPr>
                <w:rFonts w:asciiTheme="majorEastAsia" w:hAnsiTheme="majorEastAsia" w:eastAsiaTheme="majorEastAsia"/>
                <w:b/>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一、客运枢纽</w:t>
            </w:r>
          </w:p>
        </w:tc>
        <w:tc>
          <w:tcPr>
            <w:tcW w:w="1984" w:type="dxa"/>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p>
        </w:tc>
        <w:tc>
          <w:tcPr>
            <w:tcW w:w="2977" w:type="dxa"/>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p>
        </w:tc>
        <w:tc>
          <w:tcPr>
            <w:tcW w:w="709" w:type="dxa"/>
            <w:shd w:val="clear" w:color="auto" w:fill="auto"/>
            <w:vAlign w:val="center"/>
          </w:tcPr>
          <w:p>
            <w:pPr>
              <w:widowControl/>
              <w:spacing w:line="240" w:lineRule="auto"/>
              <w:jc w:val="center"/>
              <w:rPr>
                <w:rFonts w:asciiTheme="majorEastAsia" w:hAnsiTheme="majorEastAsia" w:eastAsiaTheme="majorEastAsia"/>
                <w:b/>
                <w:bCs/>
                <w:kern w:val="0"/>
                <w:sz w:val="18"/>
                <w:szCs w:val="18"/>
              </w:rPr>
            </w:pPr>
          </w:p>
        </w:tc>
        <w:tc>
          <w:tcPr>
            <w:tcW w:w="1559" w:type="dxa"/>
            <w:shd w:val="clear" w:color="auto" w:fill="auto"/>
            <w:vAlign w:val="center"/>
          </w:tcPr>
          <w:p>
            <w:pPr>
              <w:widowControl/>
              <w:spacing w:line="240" w:lineRule="auto"/>
              <w:jc w:val="center"/>
              <w:rPr>
                <w:rFonts w:asciiTheme="majorEastAsia" w:hAnsiTheme="majorEastAsia" w:eastAsiaTheme="majorEastAsia"/>
                <w:b/>
                <w:bCs/>
                <w:kern w:val="0"/>
                <w:sz w:val="18"/>
                <w:szCs w:val="18"/>
              </w:rPr>
            </w:pPr>
          </w:p>
        </w:tc>
        <w:tc>
          <w:tcPr>
            <w:tcW w:w="992" w:type="dxa"/>
            <w:shd w:val="clear" w:color="auto" w:fill="auto"/>
            <w:vAlign w:val="center"/>
          </w:tcPr>
          <w:p>
            <w:pPr>
              <w:widowControl/>
              <w:spacing w:line="240" w:lineRule="auto"/>
              <w:jc w:val="center"/>
              <w:rPr>
                <w:rFonts w:asciiTheme="majorEastAsia" w:hAnsiTheme="majorEastAsia" w:eastAsiaTheme="majorEastAsia"/>
                <w:b/>
                <w:bCs/>
                <w:kern w:val="0"/>
                <w:sz w:val="18"/>
                <w:szCs w:val="18"/>
              </w:rPr>
            </w:pPr>
          </w:p>
        </w:tc>
        <w:tc>
          <w:tcPr>
            <w:tcW w:w="990" w:type="dxa"/>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cs="宋体" w:asciiTheme="majorEastAsia" w:hAnsiTheme="majorEastAsia" w:eastAsiaTheme="majorEastAsia"/>
                <w:b/>
                <w:bCs/>
                <w:kern w:val="0"/>
                <w:sz w:val="18"/>
                <w:szCs w:val="18"/>
              </w:rPr>
              <w:t>146902</w:t>
            </w:r>
          </w:p>
        </w:tc>
        <w:tc>
          <w:tcPr>
            <w:tcW w:w="853" w:type="dxa"/>
            <w:vAlign w:val="center"/>
          </w:tcPr>
          <w:p>
            <w:pPr>
              <w:widowControl/>
              <w:spacing w:line="240" w:lineRule="auto"/>
              <w:jc w:val="center"/>
              <w:rPr>
                <w:rFonts w:cs="宋体" w:asciiTheme="majorEastAsia" w:hAnsiTheme="majorEastAsia" w:eastAsiaTheme="majorEastAsia"/>
                <w:b/>
                <w:bCs/>
                <w:kern w:val="0"/>
                <w:sz w:val="18"/>
                <w:szCs w:val="18"/>
              </w:rPr>
            </w:pPr>
            <w:r>
              <w:rPr>
                <w:rFonts w:cs="宋体" w:asciiTheme="majorEastAsia" w:hAnsiTheme="majorEastAsia" w:eastAsiaTheme="majorEastAsia"/>
                <w:b/>
                <w:bCs/>
                <w:kern w:val="0"/>
                <w:sz w:val="18"/>
                <w:szCs w:val="18"/>
              </w:rPr>
              <w:t>22000</w:t>
            </w:r>
          </w:p>
        </w:tc>
        <w:tc>
          <w:tcPr>
            <w:tcW w:w="850" w:type="dxa"/>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cs="宋体" w:asciiTheme="majorEastAsia" w:hAnsiTheme="majorEastAsia" w:eastAsiaTheme="majorEastAsia"/>
                <w:b/>
                <w:bCs/>
                <w:kern w:val="0"/>
                <w:sz w:val="18"/>
                <w:szCs w:val="18"/>
              </w:rPr>
              <w:t>8000</w:t>
            </w:r>
          </w:p>
        </w:tc>
        <w:tc>
          <w:tcPr>
            <w:tcW w:w="993" w:type="dxa"/>
            <w:shd w:val="clear" w:color="auto" w:fill="auto"/>
            <w:vAlign w:val="center"/>
          </w:tcPr>
          <w:p>
            <w:pPr>
              <w:widowControl/>
              <w:spacing w:line="240" w:lineRule="auto"/>
              <w:jc w:val="center"/>
              <w:rPr>
                <w:rFonts w:asciiTheme="majorEastAsia" w:hAnsiTheme="majorEastAsia" w:eastAsiaTheme="majorEastAsia"/>
                <w:b/>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1</w:t>
            </w:r>
          </w:p>
        </w:tc>
        <w:tc>
          <w:tcPr>
            <w:tcW w:w="1984"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六枝特区</w:t>
            </w: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六枝中心客运站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续建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一级</w:t>
            </w: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43260</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14758</w:t>
            </w: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600</w:t>
            </w: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2</w:t>
            </w:r>
          </w:p>
        </w:tc>
        <w:tc>
          <w:tcPr>
            <w:tcW w:w="1984"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盘州市红果经济开发区两河新区冯家庄村</w:t>
            </w: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盘州东客运站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续建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国家一级高铁客运枢纽站</w:t>
            </w: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36300</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31144</w:t>
            </w: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15400</w:t>
            </w: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7000</w:t>
            </w: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3</w:t>
            </w:r>
          </w:p>
        </w:tc>
        <w:tc>
          <w:tcPr>
            <w:tcW w:w="1984"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水城区</w:t>
            </w: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水城区东客运站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续建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综合客运枢纽站</w:t>
            </w: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13755</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10000</w:t>
            </w: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6</w:t>
            </w:r>
            <w:r>
              <w:rPr>
                <w:rFonts w:cs="宋体" w:asciiTheme="majorEastAsia" w:hAnsiTheme="majorEastAsia" w:eastAsiaTheme="majorEastAsia"/>
                <w:kern w:val="0"/>
                <w:sz w:val="18"/>
                <w:szCs w:val="18"/>
              </w:rPr>
              <w:t>000</w:t>
            </w: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1000</w:t>
            </w: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4</w:t>
            </w:r>
          </w:p>
        </w:tc>
        <w:tc>
          <w:tcPr>
            <w:tcW w:w="1984"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钟山区</w:t>
            </w: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六盘水高铁站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新建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高铁客运枢纽站</w:t>
            </w: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29008</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91000</w:t>
            </w: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储备项目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二、公交枢纽</w:t>
            </w:r>
          </w:p>
        </w:tc>
        <w:tc>
          <w:tcPr>
            <w:tcW w:w="1984" w:type="dxa"/>
            <w:shd w:val="clear" w:color="auto" w:fill="auto"/>
            <w:vAlign w:val="center"/>
          </w:tcPr>
          <w:p>
            <w:pPr>
              <w:widowControl/>
              <w:spacing w:line="240" w:lineRule="auto"/>
              <w:jc w:val="center"/>
              <w:rPr>
                <w:rFonts w:asciiTheme="majorEastAsia" w:hAnsiTheme="majorEastAsia" w:eastAsiaTheme="majorEastAsia"/>
                <w:b/>
                <w:bCs/>
                <w:kern w:val="0"/>
                <w:sz w:val="18"/>
                <w:szCs w:val="18"/>
              </w:rPr>
            </w:pPr>
          </w:p>
        </w:tc>
        <w:tc>
          <w:tcPr>
            <w:tcW w:w="2977" w:type="dxa"/>
            <w:shd w:val="clear" w:color="auto" w:fill="auto"/>
            <w:vAlign w:val="center"/>
          </w:tcPr>
          <w:p>
            <w:pPr>
              <w:widowControl/>
              <w:spacing w:line="240" w:lineRule="auto"/>
              <w:jc w:val="center"/>
              <w:rPr>
                <w:rFonts w:asciiTheme="majorEastAsia" w:hAnsiTheme="majorEastAsia" w:eastAsiaTheme="majorEastAsia"/>
                <w:b/>
                <w:bCs/>
                <w:kern w:val="0"/>
                <w:sz w:val="18"/>
                <w:szCs w:val="18"/>
              </w:rPr>
            </w:pPr>
          </w:p>
        </w:tc>
        <w:tc>
          <w:tcPr>
            <w:tcW w:w="709" w:type="dxa"/>
            <w:shd w:val="clear" w:color="auto" w:fill="auto"/>
            <w:vAlign w:val="center"/>
          </w:tcPr>
          <w:p>
            <w:pPr>
              <w:widowControl/>
              <w:spacing w:line="240" w:lineRule="auto"/>
              <w:jc w:val="center"/>
              <w:rPr>
                <w:rFonts w:asciiTheme="majorEastAsia" w:hAnsiTheme="majorEastAsia" w:eastAsiaTheme="majorEastAsia"/>
                <w:b/>
                <w:bCs/>
                <w:kern w:val="0"/>
                <w:sz w:val="18"/>
                <w:szCs w:val="18"/>
              </w:rPr>
            </w:pPr>
          </w:p>
        </w:tc>
        <w:tc>
          <w:tcPr>
            <w:tcW w:w="1559" w:type="dxa"/>
            <w:shd w:val="clear" w:color="auto" w:fill="auto"/>
            <w:vAlign w:val="center"/>
          </w:tcPr>
          <w:p>
            <w:pPr>
              <w:widowControl/>
              <w:spacing w:line="240" w:lineRule="auto"/>
              <w:jc w:val="center"/>
              <w:rPr>
                <w:rFonts w:asciiTheme="majorEastAsia" w:hAnsiTheme="majorEastAsia" w:eastAsiaTheme="majorEastAsia"/>
                <w:b/>
                <w:bCs/>
                <w:kern w:val="0"/>
                <w:sz w:val="18"/>
                <w:szCs w:val="18"/>
              </w:rPr>
            </w:pPr>
          </w:p>
        </w:tc>
        <w:tc>
          <w:tcPr>
            <w:tcW w:w="992" w:type="dxa"/>
            <w:shd w:val="clear" w:color="auto" w:fill="auto"/>
            <w:vAlign w:val="center"/>
          </w:tcPr>
          <w:p>
            <w:pPr>
              <w:widowControl/>
              <w:spacing w:line="240" w:lineRule="auto"/>
              <w:jc w:val="center"/>
              <w:rPr>
                <w:rFonts w:asciiTheme="majorEastAsia" w:hAnsiTheme="majorEastAsia" w:eastAsiaTheme="majorEastAsia"/>
                <w:b/>
                <w:bCs/>
                <w:kern w:val="0"/>
                <w:sz w:val="18"/>
                <w:szCs w:val="18"/>
              </w:rPr>
            </w:pPr>
          </w:p>
        </w:tc>
        <w:tc>
          <w:tcPr>
            <w:tcW w:w="990" w:type="dxa"/>
            <w:shd w:val="clear" w:color="auto" w:fill="auto"/>
            <w:vAlign w:val="center"/>
          </w:tcPr>
          <w:p>
            <w:pPr>
              <w:widowControl/>
              <w:spacing w:line="240" w:lineRule="auto"/>
              <w:jc w:val="center"/>
              <w:rPr>
                <w:rFonts w:asciiTheme="majorEastAsia" w:hAnsiTheme="majorEastAsia" w:eastAsiaTheme="majorEastAsia"/>
                <w:b/>
                <w:bCs/>
                <w:kern w:val="0"/>
                <w:sz w:val="18"/>
                <w:szCs w:val="18"/>
              </w:rPr>
            </w:pPr>
            <w:r>
              <w:rPr>
                <w:rFonts w:asciiTheme="majorEastAsia" w:hAnsiTheme="majorEastAsia" w:eastAsiaTheme="majorEastAsia"/>
                <w:b/>
                <w:bCs/>
                <w:kern w:val="0"/>
                <w:sz w:val="18"/>
                <w:szCs w:val="18"/>
              </w:rPr>
              <w:t>45199</w:t>
            </w:r>
          </w:p>
        </w:tc>
        <w:tc>
          <w:tcPr>
            <w:tcW w:w="853" w:type="dxa"/>
            <w:vAlign w:val="center"/>
          </w:tcPr>
          <w:p>
            <w:pPr>
              <w:widowControl/>
              <w:spacing w:line="240" w:lineRule="auto"/>
              <w:jc w:val="center"/>
              <w:rPr>
                <w:rFonts w:cs="宋体" w:asciiTheme="majorEastAsia" w:hAnsiTheme="majorEastAsia" w:eastAsiaTheme="majorEastAsia"/>
                <w:b/>
                <w:bCs/>
                <w:kern w:val="0"/>
                <w:sz w:val="18"/>
                <w:szCs w:val="18"/>
              </w:rPr>
            </w:pPr>
            <w:r>
              <w:rPr>
                <w:rFonts w:asciiTheme="majorEastAsia" w:hAnsiTheme="majorEastAsia" w:eastAsiaTheme="majorEastAsia"/>
                <w:b/>
                <w:bCs/>
                <w:kern w:val="0"/>
                <w:sz w:val="18"/>
                <w:szCs w:val="18"/>
              </w:rPr>
              <w:t>9875</w:t>
            </w:r>
          </w:p>
        </w:tc>
        <w:tc>
          <w:tcPr>
            <w:tcW w:w="850" w:type="dxa"/>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p>
        </w:tc>
        <w:tc>
          <w:tcPr>
            <w:tcW w:w="993" w:type="dxa"/>
            <w:shd w:val="clear" w:color="auto" w:fill="auto"/>
            <w:vAlign w:val="center"/>
          </w:tcPr>
          <w:p>
            <w:pPr>
              <w:widowControl/>
              <w:spacing w:line="240" w:lineRule="auto"/>
              <w:jc w:val="center"/>
              <w:rPr>
                <w:rFonts w:asciiTheme="majorEastAsia" w:hAnsiTheme="majorEastAsia" w:eastAsiaTheme="majorEastAsia"/>
                <w:b/>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w:t>
            </w:r>
          </w:p>
        </w:tc>
        <w:tc>
          <w:tcPr>
            <w:tcW w:w="1984" w:type="dxa"/>
            <w:vMerge w:val="restart"/>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六盘水市市中心城区(10个)</w:t>
            </w: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六盘水双水停车保养场</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新建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2452</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2189</w:t>
            </w: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2142</w:t>
            </w: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w:t>
            </w:r>
          </w:p>
        </w:tc>
        <w:tc>
          <w:tcPr>
            <w:tcW w:w="1984" w:type="dxa"/>
            <w:vMerge w:val="continue"/>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高中教育城首末站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新建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5865</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4573</w:t>
            </w: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4573</w:t>
            </w: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w:t>
            </w:r>
          </w:p>
        </w:tc>
        <w:tc>
          <w:tcPr>
            <w:tcW w:w="1984" w:type="dxa"/>
            <w:vMerge w:val="continue"/>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红桥充电站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续建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20667</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600</w:t>
            </w: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600</w:t>
            </w: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4</w:t>
            </w:r>
          </w:p>
        </w:tc>
        <w:tc>
          <w:tcPr>
            <w:tcW w:w="1984" w:type="dxa"/>
            <w:vMerge w:val="continue"/>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凉都体育中心充电站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续建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7652</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600</w:t>
            </w: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600</w:t>
            </w: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5</w:t>
            </w:r>
          </w:p>
        </w:tc>
        <w:tc>
          <w:tcPr>
            <w:tcW w:w="1984" w:type="dxa"/>
            <w:vMerge w:val="continue"/>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德坞白鹤充电站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续建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23333</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500</w:t>
            </w: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500</w:t>
            </w: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6</w:t>
            </w:r>
          </w:p>
        </w:tc>
        <w:tc>
          <w:tcPr>
            <w:tcW w:w="1984" w:type="dxa"/>
            <w:vMerge w:val="continue"/>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双坝充电站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续建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4572</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480</w:t>
            </w: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480</w:t>
            </w: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7</w:t>
            </w:r>
          </w:p>
        </w:tc>
        <w:tc>
          <w:tcPr>
            <w:tcW w:w="1984" w:type="dxa"/>
            <w:vMerge w:val="continue"/>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德坞西宁补电站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续建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380</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380</w:t>
            </w: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380</w:t>
            </w: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8</w:t>
            </w:r>
          </w:p>
        </w:tc>
        <w:tc>
          <w:tcPr>
            <w:tcW w:w="1984" w:type="dxa"/>
            <w:vMerge w:val="continue"/>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德坞临时公交总站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续建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800</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600</w:t>
            </w: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600</w:t>
            </w: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9</w:t>
            </w:r>
          </w:p>
        </w:tc>
        <w:tc>
          <w:tcPr>
            <w:tcW w:w="1984" w:type="dxa"/>
            <w:vMerge w:val="continue"/>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六盘水市公交总站（德坞）</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新建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57173</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23277</w:t>
            </w: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储备项目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10</w:t>
            </w:r>
          </w:p>
        </w:tc>
        <w:tc>
          <w:tcPr>
            <w:tcW w:w="1984" w:type="dxa"/>
            <w:vMerge w:val="continue"/>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红桥公交总站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新建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17166</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12000</w:t>
            </w: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储备项目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11</w:t>
            </w:r>
          </w:p>
        </w:tc>
        <w:tc>
          <w:tcPr>
            <w:tcW w:w="1984" w:type="dxa"/>
            <w:vMerge w:val="restart"/>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六枝特区(共2个)</w:t>
            </w: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六枝特区公共汽车运输公司东站公交枢纽站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新建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12000</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储备项目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12</w:t>
            </w:r>
          </w:p>
        </w:tc>
        <w:tc>
          <w:tcPr>
            <w:tcW w:w="1984" w:type="dxa"/>
            <w:vMerge w:val="continue"/>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六枝特区公共汽车运输公司西站公交枢纽站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新建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18000</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储备项目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13</w:t>
            </w:r>
          </w:p>
        </w:tc>
        <w:tc>
          <w:tcPr>
            <w:tcW w:w="1984" w:type="dxa"/>
            <w:vMerge w:val="restart"/>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盘州市(19个)</w:t>
            </w: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王家山公交总站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新建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12000</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储备项目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14</w:t>
            </w:r>
          </w:p>
        </w:tc>
        <w:tc>
          <w:tcPr>
            <w:tcW w:w="1984" w:type="dxa"/>
            <w:vMerge w:val="continue"/>
            <w:shd w:val="clear" w:color="auto" w:fill="auto"/>
            <w:vAlign w:val="center"/>
          </w:tcPr>
          <w:p>
            <w:pPr>
              <w:spacing w:line="240" w:lineRule="auto"/>
              <w:jc w:val="center"/>
              <w:rPr>
                <w:rFonts w:cs="宋体" w:asciiTheme="majorEastAsia" w:hAnsiTheme="majorEastAsia" w:eastAsiaTheme="majorEastAsia"/>
                <w:kern w:val="0"/>
                <w:sz w:val="18"/>
                <w:szCs w:val="18"/>
              </w:rPr>
            </w:pP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红果公交总站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新建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6666</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储备项目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15</w:t>
            </w:r>
          </w:p>
        </w:tc>
        <w:tc>
          <w:tcPr>
            <w:tcW w:w="1984" w:type="dxa"/>
            <w:vMerge w:val="continue"/>
            <w:shd w:val="clear" w:color="auto" w:fill="auto"/>
            <w:vAlign w:val="center"/>
          </w:tcPr>
          <w:p>
            <w:pPr>
              <w:spacing w:line="240" w:lineRule="auto"/>
              <w:jc w:val="center"/>
              <w:rPr>
                <w:rFonts w:cs="宋体" w:asciiTheme="majorEastAsia" w:hAnsiTheme="majorEastAsia" w:eastAsiaTheme="majorEastAsia"/>
                <w:kern w:val="0"/>
                <w:sz w:val="18"/>
                <w:szCs w:val="18"/>
              </w:rPr>
            </w:pP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丁家坡公交总站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新建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6666</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储备项目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16</w:t>
            </w:r>
          </w:p>
        </w:tc>
        <w:tc>
          <w:tcPr>
            <w:tcW w:w="1984" w:type="dxa"/>
            <w:vMerge w:val="continue"/>
            <w:shd w:val="clear" w:color="auto" w:fill="auto"/>
            <w:vAlign w:val="center"/>
          </w:tcPr>
          <w:p>
            <w:pPr>
              <w:spacing w:line="240" w:lineRule="auto"/>
              <w:jc w:val="center"/>
              <w:rPr>
                <w:rFonts w:cs="宋体" w:asciiTheme="majorEastAsia" w:hAnsiTheme="majorEastAsia" w:eastAsiaTheme="majorEastAsia"/>
                <w:kern w:val="0"/>
                <w:sz w:val="18"/>
                <w:szCs w:val="18"/>
              </w:rPr>
            </w:pP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两河公交枢杻站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新建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10000</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储备项目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17</w:t>
            </w:r>
          </w:p>
        </w:tc>
        <w:tc>
          <w:tcPr>
            <w:tcW w:w="1984" w:type="dxa"/>
            <w:vMerge w:val="continue"/>
            <w:shd w:val="clear" w:color="auto" w:fill="auto"/>
            <w:vAlign w:val="center"/>
          </w:tcPr>
          <w:p>
            <w:pPr>
              <w:spacing w:line="240" w:lineRule="auto"/>
              <w:jc w:val="center"/>
              <w:rPr>
                <w:rFonts w:cs="宋体" w:asciiTheme="majorEastAsia" w:hAnsiTheme="majorEastAsia" w:eastAsiaTheme="majorEastAsia"/>
                <w:kern w:val="0"/>
                <w:sz w:val="18"/>
                <w:szCs w:val="18"/>
              </w:rPr>
            </w:pP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双凤公交枢杻站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新建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3666</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储备项目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18</w:t>
            </w:r>
          </w:p>
        </w:tc>
        <w:tc>
          <w:tcPr>
            <w:tcW w:w="1984" w:type="dxa"/>
            <w:vMerge w:val="continue"/>
            <w:shd w:val="clear" w:color="auto" w:fill="auto"/>
            <w:vAlign w:val="center"/>
          </w:tcPr>
          <w:p>
            <w:pPr>
              <w:spacing w:line="240" w:lineRule="auto"/>
              <w:jc w:val="center"/>
              <w:rPr>
                <w:rFonts w:cs="宋体" w:asciiTheme="majorEastAsia" w:hAnsiTheme="majorEastAsia" w:eastAsiaTheme="majorEastAsia"/>
                <w:kern w:val="0"/>
                <w:sz w:val="18"/>
                <w:szCs w:val="18"/>
              </w:rPr>
            </w:pP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丹霞公交枢杻站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新建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4700</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储备项目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19</w:t>
            </w:r>
          </w:p>
        </w:tc>
        <w:tc>
          <w:tcPr>
            <w:tcW w:w="1984" w:type="dxa"/>
            <w:vMerge w:val="continue"/>
            <w:shd w:val="clear" w:color="auto" w:fill="auto"/>
            <w:vAlign w:val="center"/>
          </w:tcPr>
          <w:p>
            <w:pPr>
              <w:spacing w:line="240" w:lineRule="auto"/>
              <w:jc w:val="center"/>
              <w:rPr>
                <w:rFonts w:cs="宋体" w:asciiTheme="majorEastAsia" w:hAnsiTheme="majorEastAsia" w:eastAsiaTheme="majorEastAsia"/>
                <w:kern w:val="0"/>
                <w:sz w:val="18"/>
                <w:szCs w:val="18"/>
              </w:rPr>
            </w:pP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柏果公交枢杻站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新建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4700</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储备项目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w:t>
            </w:r>
          </w:p>
        </w:tc>
        <w:tc>
          <w:tcPr>
            <w:tcW w:w="1984" w:type="dxa"/>
            <w:vMerge w:val="continue"/>
            <w:shd w:val="clear" w:color="auto" w:fill="auto"/>
            <w:vAlign w:val="center"/>
          </w:tcPr>
          <w:p>
            <w:pPr>
              <w:spacing w:line="240" w:lineRule="auto"/>
              <w:jc w:val="center"/>
              <w:rPr>
                <w:rFonts w:cs="宋体" w:asciiTheme="majorEastAsia" w:hAnsiTheme="majorEastAsia" w:eastAsiaTheme="majorEastAsia"/>
                <w:kern w:val="0"/>
                <w:sz w:val="18"/>
                <w:szCs w:val="18"/>
              </w:rPr>
            </w:pP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盘关公交首末站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新建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3300</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储备项目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21</w:t>
            </w:r>
          </w:p>
        </w:tc>
        <w:tc>
          <w:tcPr>
            <w:tcW w:w="1984" w:type="dxa"/>
            <w:vMerge w:val="continue"/>
            <w:shd w:val="clear" w:color="auto" w:fill="auto"/>
            <w:vAlign w:val="center"/>
          </w:tcPr>
          <w:p>
            <w:pPr>
              <w:spacing w:line="240" w:lineRule="auto"/>
              <w:jc w:val="center"/>
              <w:rPr>
                <w:rFonts w:cs="宋体" w:asciiTheme="majorEastAsia" w:hAnsiTheme="majorEastAsia" w:eastAsiaTheme="majorEastAsia"/>
                <w:kern w:val="0"/>
                <w:sz w:val="18"/>
                <w:szCs w:val="18"/>
              </w:rPr>
            </w:pP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松河公交首末站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新建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3300</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储备项目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22</w:t>
            </w:r>
          </w:p>
        </w:tc>
        <w:tc>
          <w:tcPr>
            <w:tcW w:w="1984" w:type="dxa"/>
            <w:vMerge w:val="continue"/>
            <w:shd w:val="clear" w:color="auto" w:fill="auto"/>
            <w:vAlign w:val="center"/>
          </w:tcPr>
          <w:p>
            <w:pPr>
              <w:spacing w:line="240" w:lineRule="auto"/>
              <w:jc w:val="center"/>
              <w:rPr>
                <w:rFonts w:cs="宋体" w:asciiTheme="majorEastAsia" w:hAnsiTheme="majorEastAsia" w:eastAsiaTheme="majorEastAsia"/>
                <w:kern w:val="0"/>
                <w:sz w:val="18"/>
                <w:szCs w:val="18"/>
              </w:rPr>
            </w:pP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普古公交首末站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新建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3300</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储备项目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23</w:t>
            </w:r>
          </w:p>
        </w:tc>
        <w:tc>
          <w:tcPr>
            <w:tcW w:w="1984" w:type="dxa"/>
            <w:vMerge w:val="continue"/>
            <w:shd w:val="clear" w:color="auto" w:fill="auto"/>
            <w:vAlign w:val="center"/>
          </w:tcPr>
          <w:p>
            <w:pPr>
              <w:spacing w:line="240" w:lineRule="auto"/>
              <w:jc w:val="center"/>
              <w:rPr>
                <w:rFonts w:cs="宋体" w:asciiTheme="majorEastAsia" w:hAnsiTheme="majorEastAsia" w:eastAsiaTheme="majorEastAsia"/>
                <w:kern w:val="0"/>
                <w:sz w:val="18"/>
                <w:szCs w:val="18"/>
              </w:rPr>
            </w:pP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洒基公交首末站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新建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3300</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储备项目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24</w:t>
            </w:r>
          </w:p>
        </w:tc>
        <w:tc>
          <w:tcPr>
            <w:tcW w:w="1984" w:type="dxa"/>
            <w:vMerge w:val="continue"/>
            <w:shd w:val="clear" w:color="auto" w:fill="auto"/>
            <w:vAlign w:val="center"/>
          </w:tcPr>
          <w:p>
            <w:pPr>
              <w:spacing w:line="240" w:lineRule="auto"/>
              <w:jc w:val="center"/>
              <w:rPr>
                <w:rFonts w:cs="宋体" w:asciiTheme="majorEastAsia" w:hAnsiTheme="majorEastAsia" w:eastAsiaTheme="majorEastAsia"/>
                <w:kern w:val="0"/>
                <w:sz w:val="18"/>
                <w:szCs w:val="18"/>
              </w:rPr>
            </w:pP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坪地公交首末站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新建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3300</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储备项目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25</w:t>
            </w:r>
          </w:p>
        </w:tc>
        <w:tc>
          <w:tcPr>
            <w:tcW w:w="1984" w:type="dxa"/>
            <w:vMerge w:val="continue"/>
            <w:shd w:val="clear" w:color="auto" w:fill="auto"/>
            <w:vAlign w:val="center"/>
          </w:tcPr>
          <w:p>
            <w:pPr>
              <w:spacing w:line="240" w:lineRule="auto"/>
              <w:jc w:val="center"/>
              <w:rPr>
                <w:rFonts w:cs="宋体" w:asciiTheme="majorEastAsia" w:hAnsiTheme="majorEastAsia" w:eastAsiaTheme="majorEastAsia"/>
                <w:kern w:val="0"/>
                <w:sz w:val="18"/>
                <w:szCs w:val="18"/>
              </w:rPr>
            </w:pP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乌蒙公交首末站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新建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3300</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储备项目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26</w:t>
            </w:r>
          </w:p>
        </w:tc>
        <w:tc>
          <w:tcPr>
            <w:tcW w:w="1984" w:type="dxa"/>
            <w:vMerge w:val="continue"/>
            <w:shd w:val="clear" w:color="auto" w:fill="auto"/>
            <w:vAlign w:val="center"/>
          </w:tcPr>
          <w:p>
            <w:pPr>
              <w:spacing w:line="240" w:lineRule="auto"/>
              <w:jc w:val="center"/>
              <w:rPr>
                <w:rFonts w:cs="宋体" w:asciiTheme="majorEastAsia" w:hAnsiTheme="majorEastAsia" w:eastAsiaTheme="majorEastAsia"/>
                <w:kern w:val="0"/>
                <w:sz w:val="18"/>
                <w:szCs w:val="18"/>
              </w:rPr>
            </w:pP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保田公交枢杻站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新建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6666</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储备项目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27</w:t>
            </w:r>
          </w:p>
        </w:tc>
        <w:tc>
          <w:tcPr>
            <w:tcW w:w="1984" w:type="dxa"/>
            <w:vMerge w:val="continue"/>
            <w:shd w:val="clear" w:color="auto" w:fill="auto"/>
            <w:vAlign w:val="center"/>
          </w:tcPr>
          <w:p>
            <w:pPr>
              <w:spacing w:line="240" w:lineRule="auto"/>
              <w:jc w:val="center"/>
              <w:rPr>
                <w:rFonts w:cs="宋体" w:asciiTheme="majorEastAsia" w:hAnsiTheme="majorEastAsia" w:eastAsiaTheme="majorEastAsia"/>
                <w:kern w:val="0"/>
                <w:sz w:val="18"/>
                <w:szCs w:val="18"/>
              </w:rPr>
            </w:pP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响水公交首末站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新建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3300</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储备项目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28</w:t>
            </w:r>
          </w:p>
        </w:tc>
        <w:tc>
          <w:tcPr>
            <w:tcW w:w="1984" w:type="dxa"/>
            <w:vMerge w:val="continue"/>
            <w:shd w:val="clear" w:color="auto" w:fill="auto"/>
            <w:vAlign w:val="center"/>
          </w:tcPr>
          <w:p>
            <w:pPr>
              <w:spacing w:line="240" w:lineRule="auto"/>
              <w:jc w:val="center"/>
              <w:rPr>
                <w:rFonts w:cs="宋体" w:asciiTheme="majorEastAsia" w:hAnsiTheme="majorEastAsia" w:eastAsiaTheme="majorEastAsia"/>
                <w:kern w:val="0"/>
                <w:sz w:val="18"/>
                <w:szCs w:val="18"/>
              </w:rPr>
            </w:pP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大山公交首末站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新建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3300</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储备项目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29</w:t>
            </w:r>
          </w:p>
        </w:tc>
        <w:tc>
          <w:tcPr>
            <w:tcW w:w="1984" w:type="dxa"/>
            <w:vMerge w:val="continue"/>
            <w:shd w:val="clear" w:color="auto" w:fill="auto"/>
            <w:vAlign w:val="center"/>
          </w:tcPr>
          <w:p>
            <w:pPr>
              <w:spacing w:line="240" w:lineRule="auto"/>
              <w:jc w:val="center"/>
              <w:rPr>
                <w:rFonts w:cs="宋体" w:asciiTheme="majorEastAsia" w:hAnsiTheme="majorEastAsia" w:eastAsiaTheme="majorEastAsia"/>
                <w:kern w:val="0"/>
                <w:sz w:val="18"/>
                <w:szCs w:val="18"/>
              </w:rPr>
            </w:pP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石桥公交首末站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新建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3300</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储备项目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30</w:t>
            </w:r>
          </w:p>
        </w:tc>
        <w:tc>
          <w:tcPr>
            <w:tcW w:w="1984" w:type="dxa"/>
            <w:vMerge w:val="continue"/>
            <w:shd w:val="clear" w:color="auto" w:fill="auto"/>
            <w:vAlign w:val="center"/>
          </w:tcPr>
          <w:p>
            <w:pPr>
              <w:spacing w:line="240" w:lineRule="auto"/>
              <w:jc w:val="center"/>
              <w:rPr>
                <w:rFonts w:cs="宋体" w:asciiTheme="majorEastAsia" w:hAnsiTheme="majorEastAsia" w:eastAsiaTheme="majorEastAsia"/>
                <w:kern w:val="0"/>
                <w:sz w:val="18"/>
                <w:szCs w:val="18"/>
              </w:rPr>
            </w:pP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竹海公交首末站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新建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3300</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储备项目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31</w:t>
            </w:r>
          </w:p>
        </w:tc>
        <w:tc>
          <w:tcPr>
            <w:tcW w:w="1984" w:type="dxa"/>
            <w:vMerge w:val="continue"/>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平关公交首末站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新建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3300</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储备项目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三、县级客运站</w:t>
            </w:r>
          </w:p>
        </w:tc>
        <w:tc>
          <w:tcPr>
            <w:tcW w:w="1984" w:type="dxa"/>
            <w:shd w:val="clear" w:color="auto" w:fill="auto"/>
            <w:vAlign w:val="center"/>
          </w:tcPr>
          <w:p>
            <w:pPr>
              <w:widowControl/>
              <w:spacing w:line="240" w:lineRule="auto"/>
              <w:jc w:val="center"/>
              <w:rPr>
                <w:rFonts w:asciiTheme="majorEastAsia" w:hAnsiTheme="majorEastAsia" w:eastAsiaTheme="majorEastAsia"/>
                <w:b/>
                <w:bCs/>
                <w:kern w:val="0"/>
                <w:sz w:val="18"/>
                <w:szCs w:val="18"/>
              </w:rPr>
            </w:pPr>
          </w:p>
        </w:tc>
        <w:tc>
          <w:tcPr>
            <w:tcW w:w="2977" w:type="dxa"/>
            <w:shd w:val="clear" w:color="auto" w:fill="auto"/>
            <w:vAlign w:val="center"/>
          </w:tcPr>
          <w:p>
            <w:pPr>
              <w:widowControl/>
              <w:spacing w:line="240" w:lineRule="auto"/>
              <w:jc w:val="center"/>
              <w:rPr>
                <w:rFonts w:asciiTheme="majorEastAsia" w:hAnsiTheme="majorEastAsia" w:eastAsiaTheme="majorEastAsia"/>
                <w:b/>
                <w:bCs/>
                <w:kern w:val="0"/>
                <w:sz w:val="18"/>
                <w:szCs w:val="18"/>
              </w:rPr>
            </w:pPr>
          </w:p>
        </w:tc>
        <w:tc>
          <w:tcPr>
            <w:tcW w:w="709" w:type="dxa"/>
            <w:shd w:val="clear" w:color="auto" w:fill="auto"/>
            <w:vAlign w:val="center"/>
          </w:tcPr>
          <w:p>
            <w:pPr>
              <w:widowControl/>
              <w:spacing w:line="240" w:lineRule="auto"/>
              <w:jc w:val="center"/>
              <w:rPr>
                <w:rFonts w:asciiTheme="majorEastAsia" w:hAnsiTheme="majorEastAsia" w:eastAsiaTheme="majorEastAsia"/>
                <w:b/>
                <w:bCs/>
                <w:kern w:val="0"/>
                <w:sz w:val="18"/>
                <w:szCs w:val="18"/>
              </w:rPr>
            </w:pPr>
          </w:p>
        </w:tc>
        <w:tc>
          <w:tcPr>
            <w:tcW w:w="1559" w:type="dxa"/>
            <w:shd w:val="clear" w:color="auto" w:fill="auto"/>
            <w:vAlign w:val="center"/>
          </w:tcPr>
          <w:p>
            <w:pPr>
              <w:widowControl/>
              <w:spacing w:line="240" w:lineRule="auto"/>
              <w:jc w:val="center"/>
              <w:rPr>
                <w:rFonts w:asciiTheme="majorEastAsia" w:hAnsiTheme="majorEastAsia" w:eastAsiaTheme="majorEastAsia"/>
                <w:b/>
                <w:bCs/>
                <w:kern w:val="0"/>
                <w:sz w:val="18"/>
                <w:szCs w:val="18"/>
              </w:rPr>
            </w:pPr>
          </w:p>
        </w:tc>
        <w:tc>
          <w:tcPr>
            <w:tcW w:w="992" w:type="dxa"/>
            <w:shd w:val="clear" w:color="auto" w:fill="auto"/>
            <w:vAlign w:val="center"/>
          </w:tcPr>
          <w:p>
            <w:pPr>
              <w:widowControl/>
              <w:spacing w:line="240" w:lineRule="auto"/>
              <w:jc w:val="center"/>
              <w:rPr>
                <w:rFonts w:asciiTheme="majorEastAsia" w:hAnsiTheme="majorEastAsia" w:eastAsiaTheme="majorEastAsia"/>
                <w:b/>
                <w:bCs/>
                <w:kern w:val="0"/>
                <w:sz w:val="18"/>
                <w:szCs w:val="18"/>
              </w:rPr>
            </w:pPr>
          </w:p>
        </w:tc>
        <w:tc>
          <w:tcPr>
            <w:tcW w:w="990" w:type="dxa"/>
            <w:shd w:val="clear" w:color="auto" w:fill="auto"/>
            <w:vAlign w:val="center"/>
          </w:tcPr>
          <w:p>
            <w:pPr>
              <w:widowControl/>
              <w:spacing w:line="240" w:lineRule="auto"/>
              <w:jc w:val="center"/>
              <w:rPr>
                <w:rFonts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1600.00</w:t>
            </w:r>
          </w:p>
        </w:tc>
        <w:tc>
          <w:tcPr>
            <w:tcW w:w="853" w:type="dxa"/>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1600.00</w:t>
            </w:r>
          </w:p>
        </w:tc>
        <w:tc>
          <w:tcPr>
            <w:tcW w:w="850" w:type="dxa"/>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p>
        </w:tc>
        <w:tc>
          <w:tcPr>
            <w:tcW w:w="993" w:type="dxa"/>
            <w:shd w:val="clear" w:color="auto" w:fill="auto"/>
            <w:vAlign w:val="center"/>
          </w:tcPr>
          <w:p>
            <w:pPr>
              <w:widowControl/>
              <w:spacing w:line="240" w:lineRule="auto"/>
              <w:jc w:val="center"/>
              <w:rPr>
                <w:rFonts w:asciiTheme="majorEastAsia" w:hAnsiTheme="majorEastAsia" w:eastAsiaTheme="majorEastAsia"/>
                <w:b/>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shd w:val="clear" w:color="auto" w:fill="auto"/>
            <w:vAlign w:val="center"/>
          </w:tcPr>
          <w:p>
            <w:pPr>
              <w:widowControl/>
              <w:spacing w:line="240" w:lineRule="auto"/>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1</w:t>
            </w:r>
          </w:p>
        </w:tc>
        <w:tc>
          <w:tcPr>
            <w:tcW w:w="1984"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盘州市</w:t>
            </w: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盘州汽车站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扩建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二级</w:t>
            </w: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8991.16</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1600.00</w:t>
            </w:r>
          </w:p>
        </w:tc>
        <w:tc>
          <w:tcPr>
            <w:tcW w:w="853" w:type="dxa"/>
            <w:vAlign w:val="center"/>
          </w:tcPr>
          <w:p>
            <w:pPr>
              <w:widowControl/>
              <w:spacing w:line="240" w:lineRule="auto"/>
              <w:jc w:val="center"/>
              <w:rPr>
                <w:rFonts w:cs="宋体" w:asciiTheme="majorEastAsia" w:hAnsiTheme="majorEastAsia" w:eastAsiaTheme="majorEastAsia"/>
                <w:color w:val="000000"/>
                <w:kern w:val="0"/>
                <w:sz w:val="18"/>
                <w:szCs w:val="18"/>
              </w:rPr>
            </w:pPr>
            <w:r>
              <w:rPr>
                <w:rFonts w:hint="eastAsia" w:cs="宋体" w:asciiTheme="majorEastAsia" w:hAnsiTheme="majorEastAsia" w:eastAsiaTheme="majorEastAsia"/>
                <w:kern w:val="0"/>
                <w:sz w:val="18"/>
                <w:szCs w:val="18"/>
              </w:rPr>
              <w:t>1600.00</w:t>
            </w:r>
          </w:p>
        </w:tc>
        <w:tc>
          <w:tcPr>
            <w:tcW w:w="850" w:type="dxa"/>
            <w:shd w:val="clear" w:color="auto" w:fill="auto"/>
            <w:noWrap/>
            <w:vAlign w:val="center"/>
          </w:tcPr>
          <w:p>
            <w:pPr>
              <w:widowControl/>
              <w:spacing w:line="240" w:lineRule="auto"/>
              <w:jc w:val="center"/>
              <w:rPr>
                <w:rFonts w:cs="宋体" w:asciiTheme="majorEastAsia" w:hAnsiTheme="majorEastAsia" w:eastAsiaTheme="majorEastAsia"/>
                <w:color w:val="000000"/>
                <w:kern w:val="0"/>
                <w:sz w:val="18"/>
                <w:szCs w:val="18"/>
              </w:rPr>
            </w:pPr>
          </w:p>
        </w:tc>
        <w:tc>
          <w:tcPr>
            <w:tcW w:w="993" w:type="dxa"/>
            <w:shd w:val="clear" w:color="auto" w:fill="auto"/>
            <w:vAlign w:val="center"/>
          </w:tcPr>
          <w:p>
            <w:pPr>
              <w:widowControl/>
              <w:spacing w:line="240" w:lineRule="auto"/>
              <w:jc w:val="center"/>
              <w:rPr>
                <w:rFonts w:asciiTheme="majorEastAsia" w:hAnsiTheme="majorEastAsia" w:eastAsiaTheme="majorEastAsia"/>
                <w:b/>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四、出租汽车综合服务区</w:t>
            </w:r>
          </w:p>
        </w:tc>
        <w:tc>
          <w:tcPr>
            <w:tcW w:w="1984" w:type="dxa"/>
            <w:shd w:val="clear" w:color="auto" w:fill="auto"/>
            <w:vAlign w:val="center"/>
          </w:tcPr>
          <w:p>
            <w:pPr>
              <w:widowControl/>
              <w:spacing w:line="240" w:lineRule="auto"/>
              <w:jc w:val="center"/>
              <w:rPr>
                <w:rFonts w:asciiTheme="majorEastAsia" w:hAnsiTheme="majorEastAsia" w:eastAsiaTheme="majorEastAsia"/>
                <w:kern w:val="0"/>
                <w:sz w:val="18"/>
                <w:szCs w:val="18"/>
              </w:rPr>
            </w:pPr>
          </w:p>
        </w:tc>
        <w:tc>
          <w:tcPr>
            <w:tcW w:w="2977" w:type="dxa"/>
            <w:shd w:val="clear" w:color="auto" w:fill="auto"/>
            <w:vAlign w:val="center"/>
          </w:tcPr>
          <w:p>
            <w:pPr>
              <w:widowControl/>
              <w:spacing w:line="240" w:lineRule="auto"/>
              <w:jc w:val="center"/>
              <w:rPr>
                <w:rFonts w:asciiTheme="majorEastAsia" w:hAnsiTheme="majorEastAsia" w:eastAsiaTheme="majorEastAsia"/>
                <w:b/>
                <w:bCs/>
                <w:kern w:val="0"/>
                <w:sz w:val="18"/>
                <w:szCs w:val="18"/>
              </w:rPr>
            </w:pPr>
          </w:p>
        </w:tc>
        <w:tc>
          <w:tcPr>
            <w:tcW w:w="709" w:type="dxa"/>
            <w:shd w:val="clear" w:color="auto" w:fill="auto"/>
            <w:vAlign w:val="center"/>
          </w:tcPr>
          <w:p>
            <w:pPr>
              <w:widowControl/>
              <w:spacing w:line="240" w:lineRule="auto"/>
              <w:jc w:val="center"/>
              <w:rPr>
                <w:rFonts w:asciiTheme="majorEastAsia" w:hAnsiTheme="majorEastAsia" w:eastAsiaTheme="majorEastAsia"/>
                <w:kern w:val="0"/>
                <w:sz w:val="18"/>
                <w:szCs w:val="18"/>
              </w:rPr>
            </w:pPr>
          </w:p>
        </w:tc>
        <w:tc>
          <w:tcPr>
            <w:tcW w:w="1559" w:type="dxa"/>
            <w:shd w:val="clear" w:color="auto" w:fill="auto"/>
            <w:vAlign w:val="center"/>
          </w:tcPr>
          <w:p>
            <w:pPr>
              <w:widowControl/>
              <w:spacing w:line="240" w:lineRule="auto"/>
              <w:jc w:val="center"/>
              <w:rPr>
                <w:rFonts w:asciiTheme="majorEastAsia" w:hAnsiTheme="majorEastAsia" w:eastAsiaTheme="majorEastAsia"/>
                <w:b/>
                <w:bCs/>
                <w:kern w:val="0"/>
                <w:sz w:val="18"/>
                <w:szCs w:val="18"/>
              </w:rPr>
            </w:pPr>
          </w:p>
        </w:tc>
        <w:tc>
          <w:tcPr>
            <w:tcW w:w="992" w:type="dxa"/>
            <w:shd w:val="clear" w:color="auto" w:fill="auto"/>
            <w:vAlign w:val="center"/>
          </w:tcPr>
          <w:p>
            <w:pPr>
              <w:widowControl/>
              <w:spacing w:line="240" w:lineRule="auto"/>
              <w:jc w:val="center"/>
              <w:rPr>
                <w:rFonts w:asciiTheme="majorEastAsia" w:hAnsiTheme="majorEastAsia" w:eastAsiaTheme="majorEastAsia"/>
                <w:b/>
                <w:bCs/>
                <w:kern w:val="0"/>
                <w:sz w:val="18"/>
                <w:szCs w:val="18"/>
              </w:rPr>
            </w:pPr>
          </w:p>
        </w:tc>
        <w:tc>
          <w:tcPr>
            <w:tcW w:w="990" w:type="dxa"/>
            <w:shd w:val="clear" w:color="auto" w:fill="auto"/>
            <w:vAlign w:val="center"/>
          </w:tcPr>
          <w:p>
            <w:pPr>
              <w:widowControl/>
              <w:spacing w:line="240" w:lineRule="auto"/>
              <w:jc w:val="center"/>
              <w:rPr>
                <w:rFonts w:asciiTheme="majorEastAsia" w:hAnsiTheme="majorEastAsia" w:eastAsiaTheme="majorEastAsia"/>
                <w:b/>
                <w:bCs/>
                <w:kern w:val="0"/>
                <w:sz w:val="18"/>
                <w:szCs w:val="18"/>
              </w:rPr>
            </w:pPr>
          </w:p>
        </w:tc>
        <w:tc>
          <w:tcPr>
            <w:tcW w:w="853" w:type="dxa"/>
            <w:vAlign w:val="center"/>
          </w:tcPr>
          <w:p>
            <w:pPr>
              <w:widowControl/>
              <w:spacing w:line="240" w:lineRule="auto"/>
              <w:jc w:val="center"/>
              <w:rPr>
                <w:rFonts w:cs="宋体" w:asciiTheme="majorEastAsia" w:hAnsiTheme="majorEastAsia" w:eastAsiaTheme="majorEastAsia"/>
                <w:b/>
                <w:bCs/>
                <w:kern w:val="0"/>
                <w:sz w:val="18"/>
                <w:szCs w:val="18"/>
              </w:rPr>
            </w:pPr>
          </w:p>
        </w:tc>
        <w:tc>
          <w:tcPr>
            <w:tcW w:w="850" w:type="dxa"/>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p>
        </w:tc>
        <w:tc>
          <w:tcPr>
            <w:tcW w:w="993" w:type="dxa"/>
            <w:shd w:val="clear" w:color="auto" w:fill="auto"/>
            <w:vAlign w:val="center"/>
          </w:tcPr>
          <w:p>
            <w:pPr>
              <w:widowControl/>
              <w:spacing w:line="240" w:lineRule="auto"/>
              <w:jc w:val="center"/>
              <w:rPr>
                <w:rFonts w:asciiTheme="majorEastAsia" w:hAnsiTheme="majorEastAsia" w:eastAsiaTheme="majorEastAsia"/>
                <w:b/>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w:t>
            </w:r>
          </w:p>
        </w:tc>
        <w:tc>
          <w:tcPr>
            <w:tcW w:w="1984"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六盘水市中心城区</w:t>
            </w: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六盘水市中心城区出租汽车综合服务站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新建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20000</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储备项目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55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w:t>
            </w:r>
          </w:p>
        </w:tc>
        <w:tc>
          <w:tcPr>
            <w:tcW w:w="1984"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盘州市</w:t>
            </w:r>
          </w:p>
        </w:tc>
        <w:tc>
          <w:tcPr>
            <w:tcW w:w="297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盘州市中心城区出租车综合服务站</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新建</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15000</w:t>
            </w:r>
          </w:p>
        </w:tc>
        <w:tc>
          <w:tcPr>
            <w:tcW w:w="99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853" w:type="dxa"/>
            <w:vAlign w:val="center"/>
          </w:tcPr>
          <w:p>
            <w:pPr>
              <w:widowControl/>
              <w:spacing w:line="240" w:lineRule="auto"/>
              <w:jc w:val="center"/>
              <w:rPr>
                <w:rFonts w:cs="宋体" w:asciiTheme="majorEastAsia" w:hAnsiTheme="majorEastAsia" w:eastAsiaTheme="majorEastAsia"/>
                <w:kern w:val="0"/>
                <w:sz w:val="18"/>
                <w:szCs w:val="18"/>
              </w:rPr>
            </w:pP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储备项目</w:t>
            </w:r>
          </w:p>
        </w:tc>
      </w:tr>
    </w:tbl>
    <w:p>
      <w:pPr>
        <w:sectPr>
          <w:pgSz w:w="16838" w:h="11906" w:orient="landscape"/>
          <w:pgMar w:top="1800" w:right="1440" w:bottom="1800" w:left="1440" w:header="851" w:footer="992" w:gutter="0"/>
          <w:cols w:space="425" w:num="1"/>
          <w:docGrid w:type="lines" w:linePitch="381" w:charSpace="0"/>
        </w:sectPr>
      </w:pPr>
    </w:p>
    <w:p>
      <w:pPr>
        <w:keepNext/>
        <w:keepLines/>
        <w:spacing w:after="100" w:afterAutospacing="1"/>
        <w:outlineLvl w:val="0"/>
        <w:rPr>
          <w:rFonts w:cs="宋体" w:asciiTheme="majorEastAsia" w:hAnsiTheme="majorEastAsia" w:eastAsiaTheme="majorEastAsia"/>
          <w:b/>
          <w:bCs/>
          <w:kern w:val="44"/>
          <w:sz w:val="32"/>
          <w:szCs w:val="44"/>
        </w:rPr>
      </w:pPr>
      <w:bookmarkStart w:id="1009" w:name="_Toc89102220"/>
      <w:r>
        <w:rPr>
          <w:rFonts w:hint="eastAsia" w:cs="宋体" w:asciiTheme="majorEastAsia" w:hAnsiTheme="majorEastAsia" w:eastAsiaTheme="majorEastAsia"/>
          <w:b/>
          <w:bCs/>
          <w:kern w:val="44"/>
          <w:sz w:val="32"/>
          <w:szCs w:val="44"/>
        </w:rPr>
        <w:t>附表</w:t>
      </w:r>
      <w:r>
        <w:rPr>
          <w:rFonts w:asciiTheme="majorEastAsia" w:hAnsiTheme="majorEastAsia" w:eastAsiaTheme="majorEastAsia"/>
          <w:b/>
          <w:bCs/>
          <w:kern w:val="44"/>
          <w:sz w:val="32"/>
          <w:szCs w:val="44"/>
        </w:rPr>
        <w:t xml:space="preserve">7 </w:t>
      </w:r>
      <w:r>
        <w:rPr>
          <w:rFonts w:hint="eastAsia" w:asciiTheme="majorEastAsia" w:hAnsiTheme="majorEastAsia" w:eastAsiaTheme="majorEastAsia"/>
          <w:b/>
          <w:bCs/>
          <w:kern w:val="44"/>
          <w:sz w:val="32"/>
          <w:szCs w:val="44"/>
        </w:rPr>
        <w:t xml:space="preserve"> </w:t>
      </w:r>
      <w:r>
        <w:rPr>
          <w:rFonts w:hint="eastAsia" w:cs="宋体" w:asciiTheme="majorEastAsia" w:hAnsiTheme="majorEastAsia" w:eastAsiaTheme="majorEastAsia"/>
          <w:b/>
          <w:bCs/>
          <w:kern w:val="44"/>
          <w:sz w:val="32"/>
          <w:szCs w:val="44"/>
        </w:rPr>
        <w:t>六盘水市</w:t>
      </w:r>
      <w:r>
        <w:rPr>
          <w:rFonts w:asciiTheme="majorEastAsia" w:hAnsiTheme="majorEastAsia" w:eastAsiaTheme="majorEastAsia"/>
          <w:b/>
          <w:bCs/>
          <w:kern w:val="44"/>
          <w:sz w:val="32"/>
          <w:szCs w:val="44"/>
        </w:rPr>
        <w:t>“</w:t>
      </w:r>
      <w:r>
        <w:rPr>
          <w:rFonts w:hint="eastAsia" w:cs="宋体" w:asciiTheme="majorEastAsia" w:hAnsiTheme="majorEastAsia" w:eastAsiaTheme="majorEastAsia"/>
          <w:b/>
          <w:bCs/>
          <w:kern w:val="44"/>
          <w:sz w:val="32"/>
          <w:szCs w:val="44"/>
        </w:rPr>
        <w:t>十四五</w:t>
      </w:r>
      <w:r>
        <w:rPr>
          <w:rFonts w:asciiTheme="majorEastAsia" w:hAnsiTheme="majorEastAsia" w:eastAsiaTheme="majorEastAsia"/>
          <w:b/>
          <w:bCs/>
          <w:kern w:val="44"/>
          <w:sz w:val="32"/>
          <w:szCs w:val="44"/>
        </w:rPr>
        <w:t>”</w:t>
      </w:r>
      <w:r>
        <w:rPr>
          <w:rFonts w:hint="eastAsia" w:cs="宋体" w:asciiTheme="majorEastAsia" w:hAnsiTheme="majorEastAsia" w:eastAsiaTheme="majorEastAsia"/>
          <w:b/>
          <w:bCs/>
          <w:kern w:val="44"/>
          <w:sz w:val="32"/>
          <w:szCs w:val="44"/>
        </w:rPr>
        <w:t>旅游路建设项目表</w:t>
      </w:r>
      <w:bookmarkEnd w:id="1009"/>
    </w:p>
    <w:tbl>
      <w:tblPr>
        <w:tblStyle w:val="19"/>
        <w:tblW w:w="13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041"/>
        <w:gridCol w:w="944"/>
        <w:gridCol w:w="2126"/>
        <w:gridCol w:w="992"/>
        <w:gridCol w:w="709"/>
        <w:gridCol w:w="712"/>
        <w:gridCol w:w="720"/>
        <w:gridCol w:w="708"/>
        <w:gridCol w:w="1134"/>
        <w:gridCol w:w="1276"/>
        <w:gridCol w:w="1230"/>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vMerge w:val="restart"/>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序号</w:t>
            </w:r>
          </w:p>
        </w:tc>
        <w:tc>
          <w:tcPr>
            <w:tcW w:w="1985" w:type="dxa"/>
            <w:gridSpan w:val="2"/>
            <w:vMerge w:val="restart"/>
            <w:shd w:val="clear" w:color="auto" w:fill="auto"/>
            <w:noWrap/>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地区</w:t>
            </w:r>
          </w:p>
        </w:tc>
        <w:tc>
          <w:tcPr>
            <w:tcW w:w="2126" w:type="dxa"/>
            <w:vMerge w:val="restart"/>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项目名称</w:t>
            </w:r>
          </w:p>
        </w:tc>
        <w:tc>
          <w:tcPr>
            <w:tcW w:w="992" w:type="dxa"/>
            <w:vMerge w:val="restart"/>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建设性质</w:t>
            </w:r>
          </w:p>
        </w:tc>
        <w:tc>
          <w:tcPr>
            <w:tcW w:w="8190" w:type="dxa"/>
            <w:gridSpan w:val="9"/>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拟规划建设情况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vMerge w:val="continue"/>
            <w:vAlign w:val="center"/>
          </w:tcPr>
          <w:p>
            <w:pPr>
              <w:widowControl/>
              <w:spacing w:line="240" w:lineRule="auto"/>
              <w:jc w:val="center"/>
              <w:rPr>
                <w:rFonts w:cs="宋体" w:asciiTheme="majorEastAsia" w:hAnsiTheme="majorEastAsia" w:eastAsiaTheme="majorEastAsia"/>
                <w:b/>
                <w:bCs/>
                <w:color w:val="000000"/>
                <w:kern w:val="0"/>
                <w:sz w:val="18"/>
                <w:szCs w:val="18"/>
              </w:rPr>
            </w:pPr>
          </w:p>
        </w:tc>
        <w:tc>
          <w:tcPr>
            <w:tcW w:w="1985" w:type="dxa"/>
            <w:gridSpan w:val="2"/>
            <w:vMerge w:val="continue"/>
            <w:vAlign w:val="center"/>
          </w:tcPr>
          <w:p>
            <w:pPr>
              <w:widowControl/>
              <w:spacing w:line="240" w:lineRule="auto"/>
              <w:jc w:val="center"/>
              <w:rPr>
                <w:rFonts w:cs="宋体" w:asciiTheme="majorEastAsia" w:hAnsiTheme="majorEastAsia" w:eastAsiaTheme="majorEastAsia"/>
                <w:b/>
                <w:bCs/>
                <w:color w:val="000000"/>
                <w:kern w:val="0"/>
                <w:sz w:val="18"/>
                <w:szCs w:val="18"/>
              </w:rPr>
            </w:pPr>
          </w:p>
        </w:tc>
        <w:tc>
          <w:tcPr>
            <w:tcW w:w="2126" w:type="dxa"/>
            <w:vMerge w:val="continue"/>
            <w:vAlign w:val="center"/>
          </w:tcPr>
          <w:p>
            <w:pPr>
              <w:widowControl/>
              <w:spacing w:line="240" w:lineRule="auto"/>
              <w:jc w:val="center"/>
              <w:rPr>
                <w:rFonts w:cs="宋体" w:asciiTheme="majorEastAsia" w:hAnsiTheme="majorEastAsia" w:eastAsiaTheme="majorEastAsia"/>
                <w:b/>
                <w:bCs/>
                <w:color w:val="000000"/>
                <w:kern w:val="0"/>
                <w:sz w:val="18"/>
                <w:szCs w:val="18"/>
              </w:rPr>
            </w:pPr>
          </w:p>
        </w:tc>
        <w:tc>
          <w:tcPr>
            <w:tcW w:w="992" w:type="dxa"/>
            <w:vMerge w:val="continue"/>
            <w:vAlign w:val="center"/>
          </w:tcPr>
          <w:p>
            <w:pPr>
              <w:widowControl/>
              <w:spacing w:line="240" w:lineRule="auto"/>
              <w:jc w:val="center"/>
              <w:rPr>
                <w:rFonts w:cs="宋体" w:asciiTheme="majorEastAsia" w:hAnsiTheme="majorEastAsia" w:eastAsiaTheme="majorEastAsia"/>
                <w:b/>
                <w:bCs/>
                <w:color w:val="000000"/>
                <w:kern w:val="0"/>
                <w:sz w:val="18"/>
                <w:szCs w:val="18"/>
              </w:rPr>
            </w:pPr>
          </w:p>
        </w:tc>
        <w:tc>
          <w:tcPr>
            <w:tcW w:w="2849" w:type="dxa"/>
            <w:gridSpan w:val="4"/>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技术等级及里程（公里）</w:t>
            </w:r>
          </w:p>
        </w:tc>
        <w:tc>
          <w:tcPr>
            <w:tcW w:w="1134" w:type="dxa"/>
            <w:vMerge w:val="restart"/>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路基宽度（米）</w:t>
            </w:r>
          </w:p>
        </w:tc>
        <w:tc>
          <w:tcPr>
            <w:tcW w:w="1276" w:type="dxa"/>
            <w:vMerge w:val="restart"/>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估算投资（万元）</w:t>
            </w:r>
          </w:p>
        </w:tc>
        <w:tc>
          <w:tcPr>
            <w:tcW w:w="1230" w:type="dxa"/>
            <w:vMerge w:val="restart"/>
            <w:vAlign w:val="center"/>
          </w:tcPr>
          <w:p>
            <w:pPr>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“十四五”计划投资（万元）</w:t>
            </w:r>
          </w:p>
        </w:tc>
        <w:tc>
          <w:tcPr>
            <w:tcW w:w="1701" w:type="dxa"/>
            <w:gridSpan w:val="2"/>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建设年限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vMerge w:val="continue"/>
            <w:vAlign w:val="center"/>
          </w:tcPr>
          <w:p>
            <w:pPr>
              <w:widowControl/>
              <w:spacing w:line="240" w:lineRule="auto"/>
              <w:jc w:val="center"/>
              <w:rPr>
                <w:rFonts w:cs="宋体" w:asciiTheme="majorEastAsia" w:hAnsiTheme="majorEastAsia" w:eastAsiaTheme="majorEastAsia"/>
                <w:b/>
                <w:bCs/>
                <w:color w:val="000000"/>
                <w:kern w:val="0"/>
                <w:sz w:val="18"/>
                <w:szCs w:val="18"/>
              </w:rPr>
            </w:pPr>
          </w:p>
        </w:tc>
        <w:tc>
          <w:tcPr>
            <w:tcW w:w="1041" w:type="dxa"/>
            <w:shd w:val="clear" w:color="auto" w:fill="auto"/>
            <w:noWrap/>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市</w:t>
            </w:r>
          </w:p>
        </w:tc>
        <w:tc>
          <w:tcPr>
            <w:tcW w:w="944" w:type="dxa"/>
            <w:shd w:val="clear" w:color="auto" w:fill="auto"/>
            <w:noWrap/>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市、特区、区</w:t>
            </w:r>
          </w:p>
        </w:tc>
        <w:tc>
          <w:tcPr>
            <w:tcW w:w="2126" w:type="dxa"/>
            <w:vMerge w:val="continue"/>
            <w:vAlign w:val="center"/>
          </w:tcPr>
          <w:p>
            <w:pPr>
              <w:widowControl/>
              <w:spacing w:line="240" w:lineRule="auto"/>
              <w:jc w:val="center"/>
              <w:rPr>
                <w:rFonts w:cs="宋体" w:asciiTheme="majorEastAsia" w:hAnsiTheme="majorEastAsia" w:eastAsiaTheme="majorEastAsia"/>
                <w:b/>
                <w:bCs/>
                <w:color w:val="000000"/>
                <w:kern w:val="0"/>
                <w:sz w:val="18"/>
                <w:szCs w:val="18"/>
              </w:rPr>
            </w:pPr>
          </w:p>
        </w:tc>
        <w:tc>
          <w:tcPr>
            <w:tcW w:w="992" w:type="dxa"/>
            <w:vMerge w:val="continue"/>
            <w:vAlign w:val="center"/>
          </w:tcPr>
          <w:p>
            <w:pPr>
              <w:widowControl/>
              <w:spacing w:line="240" w:lineRule="auto"/>
              <w:jc w:val="center"/>
              <w:rPr>
                <w:rFonts w:cs="宋体" w:asciiTheme="majorEastAsia" w:hAnsiTheme="majorEastAsia" w:eastAsiaTheme="majorEastAsia"/>
                <w:b/>
                <w:bCs/>
                <w:color w:val="000000"/>
                <w:kern w:val="0"/>
                <w:sz w:val="18"/>
                <w:szCs w:val="18"/>
              </w:rPr>
            </w:pPr>
          </w:p>
        </w:tc>
        <w:tc>
          <w:tcPr>
            <w:tcW w:w="709" w:type="dxa"/>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合计</w:t>
            </w:r>
          </w:p>
        </w:tc>
        <w:tc>
          <w:tcPr>
            <w:tcW w:w="712" w:type="dxa"/>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一级</w:t>
            </w:r>
          </w:p>
        </w:tc>
        <w:tc>
          <w:tcPr>
            <w:tcW w:w="720" w:type="dxa"/>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二级</w:t>
            </w:r>
          </w:p>
        </w:tc>
        <w:tc>
          <w:tcPr>
            <w:tcW w:w="708" w:type="dxa"/>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三级</w:t>
            </w:r>
          </w:p>
        </w:tc>
        <w:tc>
          <w:tcPr>
            <w:tcW w:w="1134" w:type="dxa"/>
            <w:vMerge w:val="continue"/>
            <w:vAlign w:val="center"/>
          </w:tcPr>
          <w:p>
            <w:pPr>
              <w:widowControl/>
              <w:spacing w:line="240" w:lineRule="auto"/>
              <w:jc w:val="center"/>
              <w:rPr>
                <w:rFonts w:cs="宋体" w:asciiTheme="majorEastAsia" w:hAnsiTheme="majorEastAsia" w:eastAsiaTheme="majorEastAsia"/>
                <w:b/>
                <w:bCs/>
                <w:color w:val="000000"/>
                <w:kern w:val="0"/>
                <w:sz w:val="18"/>
                <w:szCs w:val="18"/>
              </w:rPr>
            </w:pPr>
          </w:p>
        </w:tc>
        <w:tc>
          <w:tcPr>
            <w:tcW w:w="1276" w:type="dxa"/>
            <w:vMerge w:val="continue"/>
            <w:vAlign w:val="center"/>
          </w:tcPr>
          <w:p>
            <w:pPr>
              <w:widowControl/>
              <w:spacing w:line="240" w:lineRule="auto"/>
              <w:jc w:val="center"/>
              <w:rPr>
                <w:rFonts w:cs="宋体" w:asciiTheme="majorEastAsia" w:hAnsiTheme="majorEastAsia" w:eastAsiaTheme="majorEastAsia"/>
                <w:b/>
                <w:bCs/>
                <w:color w:val="000000"/>
                <w:kern w:val="0"/>
                <w:sz w:val="18"/>
                <w:szCs w:val="18"/>
              </w:rPr>
            </w:pPr>
          </w:p>
        </w:tc>
        <w:tc>
          <w:tcPr>
            <w:tcW w:w="1230" w:type="dxa"/>
            <w:vMerge w:val="continue"/>
            <w:vAlign w:val="center"/>
          </w:tcPr>
          <w:p>
            <w:pPr>
              <w:widowControl/>
              <w:spacing w:line="240" w:lineRule="auto"/>
              <w:jc w:val="center"/>
              <w:rPr>
                <w:rFonts w:cs="宋体" w:asciiTheme="majorEastAsia" w:hAnsiTheme="majorEastAsia" w:eastAsiaTheme="majorEastAsia"/>
                <w:b/>
                <w:bCs/>
                <w:color w:val="000000"/>
                <w:kern w:val="0"/>
                <w:sz w:val="18"/>
                <w:szCs w:val="18"/>
              </w:rPr>
            </w:pPr>
          </w:p>
        </w:tc>
        <w:tc>
          <w:tcPr>
            <w:tcW w:w="851" w:type="dxa"/>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开工年</w:t>
            </w:r>
          </w:p>
        </w:tc>
        <w:tc>
          <w:tcPr>
            <w:tcW w:w="850" w:type="dxa"/>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完工年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65" w:type="dxa"/>
            <w:gridSpan w:val="5"/>
            <w:shd w:val="clear" w:color="auto" w:fill="auto"/>
            <w:noWrap/>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合计</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b/>
                <w:bCs/>
                <w:kern w:val="0"/>
                <w:sz w:val="18"/>
                <w:szCs w:val="18"/>
              </w:rPr>
            </w:pPr>
            <w:r>
              <w:rPr>
                <w:b/>
                <w:bCs/>
                <w:color w:val="000000"/>
                <w:sz w:val="18"/>
                <w:szCs w:val="18"/>
              </w:rPr>
              <w:t>257.2</w:t>
            </w:r>
          </w:p>
        </w:tc>
        <w:tc>
          <w:tcPr>
            <w:tcW w:w="712" w:type="dxa"/>
          </w:tcPr>
          <w:p>
            <w:pPr>
              <w:widowControl/>
              <w:spacing w:line="240" w:lineRule="auto"/>
              <w:jc w:val="center"/>
              <w:rPr>
                <w:b/>
                <w:bCs/>
                <w:color w:val="000000"/>
                <w:sz w:val="18"/>
                <w:szCs w:val="18"/>
              </w:rPr>
            </w:pPr>
            <w:r>
              <w:rPr>
                <w:rFonts w:hint="eastAsia"/>
                <w:b/>
                <w:bCs/>
                <w:color w:val="000000"/>
                <w:sz w:val="18"/>
                <w:szCs w:val="18"/>
              </w:rPr>
              <w:t>1</w:t>
            </w:r>
            <w:r>
              <w:rPr>
                <w:b/>
                <w:bCs/>
                <w:color w:val="000000"/>
                <w:sz w:val="18"/>
                <w:szCs w:val="18"/>
              </w:rPr>
              <w:t>8.6</w:t>
            </w:r>
          </w:p>
        </w:tc>
        <w:tc>
          <w:tcPr>
            <w:tcW w:w="720" w:type="dxa"/>
            <w:shd w:val="clear" w:color="auto" w:fill="auto"/>
            <w:noWrap/>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b/>
                <w:bCs/>
                <w:color w:val="000000"/>
                <w:sz w:val="18"/>
                <w:szCs w:val="18"/>
              </w:rPr>
              <w:t>199.6</w:t>
            </w:r>
          </w:p>
        </w:tc>
        <w:tc>
          <w:tcPr>
            <w:tcW w:w="708" w:type="dxa"/>
            <w:shd w:val="clear" w:color="auto" w:fill="auto"/>
            <w:noWrap/>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b/>
                <w:bCs/>
                <w:color w:val="000000"/>
                <w:sz w:val="18"/>
                <w:szCs w:val="18"/>
              </w:rPr>
              <w:t>39</w:t>
            </w:r>
          </w:p>
        </w:tc>
        <w:tc>
          <w:tcPr>
            <w:tcW w:w="1134" w:type="dxa"/>
            <w:shd w:val="clear" w:color="auto" w:fill="auto"/>
            <w:noWrap/>
          </w:tcPr>
          <w:p>
            <w:pPr>
              <w:widowControl/>
              <w:spacing w:line="240" w:lineRule="auto"/>
              <w:jc w:val="center"/>
              <w:rPr>
                <w:rFonts w:cs="宋体" w:asciiTheme="majorEastAsia" w:hAnsiTheme="majorEastAsia" w:eastAsiaTheme="majorEastAsia"/>
                <w:b/>
                <w:bCs/>
                <w:kern w:val="0"/>
                <w:sz w:val="18"/>
                <w:szCs w:val="18"/>
              </w:rPr>
            </w:pPr>
          </w:p>
        </w:tc>
        <w:tc>
          <w:tcPr>
            <w:tcW w:w="1276" w:type="dxa"/>
            <w:shd w:val="clear" w:color="auto" w:fill="auto"/>
            <w:noWrap/>
          </w:tcPr>
          <w:p>
            <w:pPr>
              <w:widowControl/>
              <w:spacing w:line="240" w:lineRule="auto"/>
              <w:jc w:val="center"/>
              <w:rPr>
                <w:rFonts w:cs="宋体" w:asciiTheme="majorEastAsia" w:hAnsiTheme="majorEastAsia" w:eastAsiaTheme="majorEastAsia"/>
                <w:b/>
                <w:bCs/>
                <w:kern w:val="0"/>
                <w:sz w:val="18"/>
                <w:szCs w:val="18"/>
              </w:rPr>
            </w:pPr>
            <w:r>
              <w:rPr>
                <w:rFonts w:cs="宋体" w:asciiTheme="majorEastAsia" w:hAnsiTheme="majorEastAsia" w:eastAsiaTheme="majorEastAsia"/>
                <w:b/>
                <w:bCs/>
                <w:kern w:val="0"/>
                <w:sz w:val="18"/>
                <w:szCs w:val="18"/>
              </w:rPr>
              <w:t>429646</w:t>
            </w:r>
          </w:p>
        </w:tc>
        <w:tc>
          <w:tcPr>
            <w:tcW w:w="1230" w:type="dxa"/>
          </w:tcPr>
          <w:p>
            <w:pPr>
              <w:widowControl/>
              <w:spacing w:line="240" w:lineRule="auto"/>
              <w:jc w:val="center"/>
              <w:rPr>
                <w:rFonts w:cs="宋体" w:asciiTheme="majorEastAsia" w:hAnsiTheme="majorEastAsia" w:eastAsiaTheme="majorEastAsia"/>
                <w:b/>
                <w:bCs/>
                <w:kern w:val="0"/>
                <w:sz w:val="18"/>
                <w:szCs w:val="18"/>
              </w:rPr>
            </w:pPr>
            <w:r>
              <w:rPr>
                <w:rFonts w:cs="宋体" w:asciiTheme="majorEastAsia" w:hAnsiTheme="majorEastAsia" w:eastAsiaTheme="majorEastAsia"/>
                <w:b/>
                <w:bCs/>
                <w:kern w:val="0"/>
                <w:sz w:val="18"/>
                <w:szCs w:val="18"/>
              </w:rPr>
              <w:t>38000</w:t>
            </w:r>
          </w:p>
        </w:tc>
        <w:tc>
          <w:tcPr>
            <w:tcW w:w="851" w:type="dxa"/>
            <w:shd w:val="clear" w:color="auto" w:fill="auto"/>
            <w:noWrap/>
            <w:vAlign w:val="center"/>
          </w:tcPr>
          <w:p>
            <w:pPr>
              <w:widowControl/>
              <w:spacing w:line="240" w:lineRule="auto"/>
              <w:jc w:val="center"/>
              <w:rPr>
                <w:rFonts w:cs="宋体" w:asciiTheme="majorEastAsia" w:hAnsiTheme="majorEastAsia" w:eastAsiaTheme="majorEastAsia"/>
                <w:b/>
                <w:bCs/>
                <w:color w:val="000000"/>
                <w:kern w:val="0"/>
                <w:sz w:val="18"/>
                <w:szCs w:val="18"/>
              </w:rPr>
            </w:pPr>
          </w:p>
        </w:tc>
        <w:tc>
          <w:tcPr>
            <w:tcW w:w="850" w:type="dxa"/>
            <w:shd w:val="clear" w:color="auto" w:fill="auto"/>
            <w:noWrap/>
            <w:vAlign w:val="center"/>
          </w:tcPr>
          <w:p>
            <w:pPr>
              <w:widowControl/>
              <w:spacing w:line="240" w:lineRule="auto"/>
              <w:jc w:val="center"/>
              <w:rPr>
                <w:rFonts w:cs="宋体" w:asciiTheme="majorEastAsia" w:hAnsiTheme="majorEastAsia" w:eastAsiaTheme="majorEastAsia"/>
                <w:b/>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65" w:type="dxa"/>
            <w:gridSpan w:val="5"/>
            <w:shd w:val="clear" w:color="auto" w:fill="auto"/>
            <w:noWrap/>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十四五开工项目</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19.2</w:t>
            </w:r>
          </w:p>
        </w:tc>
        <w:tc>
          <w:tcPr>
            <w:tcW w:w="712" w:type="dxa"/>
          </w:tcPr>
          <w:p>
            <w:pPr>
              <w:widowControl/>
              <w:spacing w:line="240" w:lineRule="auto"/>
              <w:jc w:val="center"/>
              <w:rPr>
                <w:rFonts w:cs="宋体" w:asciiTheme="majorEastAsia" w:hAnsiTheme="majorEastAsia" w:eastAsiaTheme="majorEastAsia"/>
                <w:b/>
                <w:bCs/>
                <w:kern w:val="0"/>
                <w:sz w:val="18"/>
                <w:szCs w:val="18"/>
              </w:rPr>
            </w:pPr>
          </w:p>
        </w:tc>
        <w:tc>
          <w:tcPr>
            <w:tcW w:w="720" w:type="dxa"/>
            <w:shd w:val="clear" w:color="auto" w:fill="auto"/>
            <w:noWrap/>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19.2</w:t>
            </w:r>
          </w:p>
        </w:tc>
        <w:tc>
          <w:tcPr>
            <w:tcW w:w="708" w:type="dxa"/>
            <w:shd w:val="clear" w:color="auto" w:fill="auto"/>
            <w:noWrap/>
            <w:vAlign w:val="center"/>
          </w:tcPr>
          <w:p>
            <w:pPr>
              <w:widowControl/>
              <w:spacing w:line="240" w:lineRule="auto"/>
              <w:jc w:val="center"/>
              <w:rPr>
                <w:rFonts w:cs="宋体" w:asciiTheme="majorEastAsia" w:hAnsiTheme="majorEastAsia" w:eastAsiaTheme="majorEastAsia"/>
                <w:b/>
                <w:bCs/>
                <w:kern w:val="0"/>
                <w:sz w:val="18"/>
                <w:szCs w:val="18"/>
              </w:rPr>
            </w:pPr>
          </w:p>
        </w:tc>
        <w:tc>
          <w:tcPr>
            <w:tcW w:w="1134" w:type="dxa"/>
            <w:shd w:val="clear" w:color="auto" w:fill="auto"/>
            <w:noWrap/>
            <w:vAlign w:val="center"/>
          </w:tcPr>
          <w:p>
            <w:pPr>
              <w:widowControl/>
              <w:spacing w:line="240" w:lineRule="auto"/>
              <w:jc w:val="center"/>
              <w:rPr>
                <w:rFonts w:cs="宋体" w:asciiTheme="majorEastAsia" w:hAnsiTheme="majorEastAsia" w:eastAsiaTheme="majorEastAsia"/>
                <w:b/>
                <w:bCs/>
                <w:kern w:val="0"/>
                <w:sz w:val="18"/>
                <w:szCs w:val="18"/>
              </w:rPr>
            </w:pPr>
          </w:p>
        </w:tc>
        <w:tc>
          <w:tcPr>
            <w:tcW w:w="1276" w:type="dxa"/>
            <w:shd w:val="clear" w:color="auto" w:fill="auto"/>
            <w:noWrap/>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56021</w:t>
            </w:r>
          </w:p>
        </w:tc>
        <w:tc>
          <w:tcPr>
            <w:tcW w:w="1230" w:type="dxa"/>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38000</w:t>
            </w:r>
          </w:p>
        </w:tc>
        <w:tc>
          <w:tcPr>
            <w:tcW w:w="85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p>
        </w:tc>
        <w:tc>
          <w:tcPr>
            <w:tcW w:w="85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w:t>
            </w:r>
          </w:p>
        </w:tc>
        <w:tc>
          <w:tcPr>
            <w:tcW w:w="104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六盘水市</w:t>
            </w:r>
          </w:p>
        </w:tc>
        <w:tc>
          <w:tcPr>
            <w:tcW w:w="94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六枝特区</w:t>
            </w:r>
          </w:p>
        </w:tc>
        <w:tc>
          <w:tcPr>
            <w:tcW w:w="212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六枝特区西嘎至毛口“渡改路”工程</w:t>
            </w:r>
          </w:p>
        </w:tc>
        <w:tc>
          <w:tcPr>
            <w:tcW w:w="99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改扩建</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19.2</w:t>
            </w:r>
          </w:p>
        </w:tc>
        <w:tc>
          <w:tcPr>
            <w:tcW w:w="712" w:type="dxa"/>
          </w:tcPr>
          <w:p>
            <w:pPr>
              <w:widowControl/>
              <w:spacing w:line="240" w:lineRule="auto"/>
              <w:jc w:val="center"/>
              <w:rPr>
                <w:rFonts w:cs="宋体" w:asciiTheme="majorEastAsia" w:hAnsiTheme="majorEastAsia" w:eastAsiaTheme="majorEastAsia"/>
                <w:kern w:val="0"/>
                <w:sz w:val="18"/>
                <w:szCs w:val="18"/>
              </w:rPr>
            </w:pPr>
          </w:p>
        </w:tc>
        <w:tc>
          <w:tcPr>
            <w:tcW w:w="72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19.2</w:t>
            </w:r>
          </w:p>
        </w:tc>
        <w:tc>
          <w:tcPr>
            <w:tcW w:w="708"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p>
        </w:tc>
        <w:tc>
          <w:tcPr>
            <w:tcW w:w="113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8.5</w:t>
            </w:r>
          </w:p>
        </w:tc>
        <w:tc>
          <w:tcPr>
            <w:tcW w:w="127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56021</w:t>
            </w:r>
          </w:p>
        </w:tc>
        <w:tc>
          <w:tcPr>
            <w:tcW w:w="1230" w:type="dxa"/>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38000</w:t>
            </w:r>
          </w:p>
        </w:tc>
        <w:tc>
          <w:tcPr>
            <w:tcW w:w="85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w:t>
            </w:r>
            <w:r>
              <w:rPr>
                <w:rFonts w:cs="宋体" w:asciiTheme="majorEastAsia" w:hAnsiTheme="majorEastAsia" w:eastAsiaTheme="majorEastAsia"/>
                <w:kern w:val="0"/>
                <w:sz w:val="18"/>
                <w:szCs w:val="18"/>
              </w:rPr>
              <w:t>21</w:t>
            </w:r>
          </w:p>
        </w:tc>
        <w:tc>
          <w:tcPr>
            <w:tcW w:w="85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65" w:type="dxa"/>
            <w:gridSpan w:val="5"/>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b/>
                <w:bCs/>
                <w:kern w:val="0"/>
                <w:sz w:val="18"/>
                <w:szCs w:val="18"/>
              </w:rPr>
              <w:t>十四五储备项目</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b/>
                <w:bCs/>
                <w:kern w:val="0"/>
                <w:sz w:val="18"/>
                <w:szCs w:val="18"/>
              </w:rPr>
            </w:pPr>
            <w:r>
              <w:rPr>
                <w:rFonts w:cs="宋体" w:asciiTheme="majorEastAsia" w:hAnsiTheme="majorEastAsia" w:eastAsiaTheme="majorEastAsia"/>
                <w:b/>
                <w:bCs/>
                <w:kern w:val="0"/>
                <w:sz w:val="18"/>
                <w:szCs w:val="18"/>
              </w:rPr>
              <w:t>238</w:t>
            </w:r>
          </w:p>
        </w:tc>
        <w:tc>
          <w:tcPr>
            <w:tcW w:w="712" w:type="dxa"/>
          </w:tcPr>
          <w:p>
            <w:pPr>
              <w:widowControl/>
              <w:spacing w:line="240" w:lineRule="auto"/>
              <w:jc w:val="center"/>
              <w:rPr>
                <w:rFonts w:cs="宋体" w:asciiTheme="majorEastAsia" w:hAnsiTheme="majorEastAsia" w:eastAsiaTheme="majorEastAsia"/>
                <w:b/>
                <w:bCs/>
                <w:kern w:val="0"/>
                <w:sz w:val="18"/>
                <w:szCs w:val="18"/>
              </w:rPr>
            </w:pPr>
            <w:r>
              <w:rPr>
                <w:rFonts w:hint="eastAsia"/>
                <w:b/>
                <w:bCs/>
                <w:color w:val="000000"/>
                <w:sz w:val="18"/>
                <w:szCs w:val="18"/>
              </w:rPr>
              <w:t>1</w:t>
            </w:r>
            <w:r>
              <w:rPr>
                <w:b/>
                <w:bCs/>
                <w:color w:val="000000"/>
                <w:sz w:val="18"/>
                <w:szCs w:val="18"/>
              </w:rPr>
              <w:t>8.6</w:t>
            </w:r>
          </w:p>
        </w:tc>
        <w:tc>
          <w:tcPr>
            <w:tcW w:w="720" w:type="dxa"/>
            <w:shd w:val="clear" w:color="auto" w:fill="auto"/>
            <w:noWrap/>
            <w:vAlign w:val="center"/>
          </w:tcPr>
          <w:p>
            <w:pPr>
              <w:widowControl/>
              <w:spacing w:line="240" w:lineRule="auto"/>
              <w:jc w:val="center"/>
              <w:rPr>
                <w:rFonts w:cs="宋体" w:asciiTheme="majorEastAsia" w:hAnsiTheme="majorEastAsia" w:eastAsiaTheme="majorEastAsia"/>
                <w:b/>
                <w:bCs/>
                <w:kern w:val="0"/>
                <w:sz w:val="18"/>
                <w:szCs w:val="18"/>
              </w:rPr>
            </w:pPr>
            <w:r>
              <w:rPr>
                <w:rFonts w:cs="宋体" w:asciiTheme="majorEastAsia" w:hAnsiTheme="majorEastAsia" w:eastAsiaTheme="majorEastAsia"/>
                <w:b/>
                <w:bCs/>
                <w:kern w:val="0"/>
                <w:sz w:val="18"/>
                <w:szCs w:val="18"/>
              </w:rPr>
              <w:t>180.4</w:t>
            </w:r>
          </w:p>
        </w:tc>
        <w:tc>
          <w:tcPr>
            <w:tcW w:w="708" w:type="dxa"/>
            <w:shd w:val="clear" w:color="auto" w:fill="auto"/>
            <w:noWrap/>
            <w:vAlign w:val="center"/>
          </w:tcPr>
          <w:p>
            <w:pPr>
              <w:widowControl/>
              <w:spacing w:line="240" w:lineRule="auto"/>
              <w:jc w:val="center"/>
              <w:rPr>
                <w:rFonts w:cs="宋体" w:asciiTheme="majorEastAsia" w:hAnsiTheme="majorEastAsia" w:eastAsiaTheme="majorEastAsia"/>
                <w:b/>
                <w:bCs/>
                <w:kern w:val="0"/>
                <w:sz w:val="18"/>
                <w:szCs w:val="18"/>
              </w:rPr>
            </w:pPr>
            <w:r>
              <w:rPr>
                <w:rFonts w:cs="宋体" w:asciiTheme="majorEastAsia" w:hAnsiTheme="majorEastAsia" w:eastAsiaTheme="majorEastAsia"/>
                <w:b/>
                <w:bCs/>
                <w:kern w:val="0"/>
                <w:sz w:val="18"/>
                <w:szCs w:val="18"/>
              </w:rPr>
              <w:t>39</w:t>
            </w:r>
          </w:p>
        </w:tc>
        <w:tc>
          <w:tcPr>
            <w:tcW w:w="1134" w:type="dxa"/>
            <w:shd w:val="clear" w:color="auto" w:fill="auto"/>
            <w:noWrap/>
            <w:vAlign w:val="center"/>
          </w:tcPr>
          <w:p>
            <w:pPr>
              <w:widowControl/>
              <w:spacing w:line="240" w:lineRule="auto"/>
              <w:jc w:val="center"/>
              <w:rPr>
                <w:rFonts w:cs="宋体" w:asciiTheme="majorEastAsia" w:hAnsiTheme="majorEastAsia" w:eastAsiaTheme="majorEastAsia"/>
                <w:b/>
                <w:bCs/>
                <w:kern w:val="0"/>
                <w:sz w:val="18"/>
                <w:szCs w:val="18"/>
              </w:rPr>
            </w:pPr>
          </w:p>
        </w:tc>
        <w:tc>
          <w:tcPr>
            <w:tcW w:w="1276" w:type="dxa"/>
            <w:shd w:val="clear" w:color="auto" w:fill="auto"/>
            <w:noWrap/>
            <w:vAlign w:val="center"/>
          </w:tcPr>
          <w:p>
            <w:pPr>
              <w:widowControl/>
              <w:spacing w:line="240" w:lineRule="auto"/>
              <w:jc w:val="center"/>
              <w:rPr>
                <w:rFonts w:cs="宋体" w:asciiTheme="majorEastAsia" w:hAnsiTheme="majorEastAsia" w:eastAsiaTheme="majorEastAsia"/>
                <w:b/>
                <w:bCs/>
                <w:kern w:val="0"/>
                <w:sz w:val="18"/>
                <w:szCs w:val="18"/>
              </w:rPr>
            </w:pPr>
            <w:r>
              <w:rPr>
                <w:rFonts w:cs="宋体" w:asciiTheme="majorEastAsia" w:hAnsiTheme="majorEastAsia" w:eastAsiaTheme="majorEastAsia"/>
                <w:b/>
                <w:bCs/>
                <w:kern w:val="0"/>
                <w:sz w:val="18"/>
                <w:szCs w:val="18"/>
              </w:rPr>
              <w:t>373625</w:t>
            </w:r>
          </w:p>
        </w:tc>
        <w:tc>
          <w:tcPr>
            <w:tcW w:w="1230" w:type="dxa"/>
            <w:vAlign w:val="center"/>
          </w:tcPr>
          <w:p>
            <w:pPr>
              <w:widowControl/>
              <w:spacing w:line="240" w:lineRule="auto"/>
              <w:jc w:val="center"/>
              <w:rPr>
                <w:rFonts w:cs="宋体" w:asciiTheme="majorEastAsia" w:hAnsiTheme="majorEastAsia" w:eastAsiaTheme="majorEastAsia"/>
                <w:b/>
                <w:bCs/>
                <w:kern w:val="0"/>
                <w:sz w:val="18"/>
                <w:szCs w:val="18"/>
              </w:rPr>
            </w:pPr>
          </w:p>
        </w:tc>
        <w:tc>
          <w:tcPr>
            <w:tcW w:w="851" w:type="dxa"/>
            <w:shd w:val="clear" w:color="auto" w:fill="auto"/>
            <w:noWrap/>
            <w:vAlign w:val="center"/>
          </w:tcPr>
          <w:p>
            <w:pPr>
              <w:widowControl/>
              <w:spacing w:line="240" w:lineRule="auto"/>
              <w:jc w:val="center"/>
              <w:rPr>
                <w:rFonts w:cs="宋体" w:asciiTheme="majorEastAsia" w:hAnsiTheme="majorEastAsia" w:eastAsiaTheme="majorEastAsia"/>
                <w:b/>
                <w:bCs/>
                <w:kern w:val="0"/>
                <w:sz w:val="18"/>
                <w:szCs w:val="18"/>
              </w:rPr>
            </w:pPr>
          </w:p>
        </w:tc>
        <w:tc>
          <w:tcPr>
            <w:tcW w:w="850" w:type="dxa"/>
            <w:shd w:val="clear" w:color="auto" w:fill="auto"/>
            <w:noWrap/>
            <w:vAlign w:val="center"/>
          </w:tcPr>
          <w:p>
            <w:pPr>
              <w:widowControl/>
              <w:spacing w:line="240" w:lineRule="auto"/>
              <w:jc w:val="center"/>
              <w:rPr>
                <w:rFonts w:cs="宋体" w:asciiTheme="majorEastAsia" w:hAnsiTheme="majorEastAsia" w:eastAsiaTheme="majorEastAsia"/>
                <w:b/>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w:t>
            </w:r>
          </w:p>
        </w:tc>
        <w:tc>
          <w:tcPr>
            <w:tcW w:w="104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六盘水市</w:t>
            </w:r>
          </w:p>
        </w:tc>
        <w:tc>
          <w:tcPr>
            <w:tcW w:w="94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六枝特区</w:t>
            </w:r>
          </w:p>
        </w:tc>
        <w:tc>
          <w:tcPr>
            <w:tcW w:w="212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S214岩脚至六枝公路</w:t>
            </w:r>
          </w:p>
        </w:tc>
        <w:tc>
          <w:tcPr>
            <w:tcW w:w="99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改扩建</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11.9</w:t>
            </w:r>
          </w:p>
        </w:tc>
        <w:tc>
          <w:tcPr>
            <w:tcW w:w="712" w:type="dxa"/>
          </w:tcPr>
          <w:p>
            <w:pPr>
              <w:widowControl/>
              <w:spacing w:line="240" w:lineRule="auto"/>
              <w:jc w:val="center"/>
              <w:rPr>
                <w:rFonts w:cs="宋体" w:asciiTheme="majorEastAsia" w:hAnsiTheme="majorEastAsia" w:eastAsiaTheme="majorEastAsia"/>
                <w:kern w:val="0"/>
                <w:sz w:val="18"/>
                <w:szCs w:val="18"/>
              </w:rPr>
            </w:pPr>
          </w:p>
        </w:tc>
        <w:tc>
          <w:tcPr>
            <w:tcW w:w="72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11.9</w:t>
            </w:r>
          </w:p>
        </w:tc>
        <w:tc>
          <w:tcPr>
            <w:tcW w:w="708"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p>
        </w:tc>
        <w:tc>
          <w:tcPr>
            <w:tcW w:w="113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8.5</w:t>
            </w:r>
          </w:p>
        </w:tc>
        <w:tc>
          <w:tcPr>
            <w:tcW w:w="127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15516</w:t>
            </w:r>
          </w:p>
        </w:tc>
        <w:tc>
          <w:tcPr>
            <w:tcW w:w="1230" w:type="dxa"/>
            <w:vAlign w:val="center"/>
          </w:tcPr>
          <w:p>
            <w:pPr>
              <w:widowControl/>
              <w:spacing w:line="240" w:lineRule="auto"/>
              <w:jc w:val="center"/>
              <w:rPr>
                <w:rFonts w:cs="宋体" w:asciiTheme="majorEastAsia" w:hAnsiTheme="majorEastAsia" w:eastAsiaTheme="majorEastAsia"/>
                <w:kern w:val="0"/>
                <w:sz w:val="18"/>
                <w:szCs w:val="18"/>
              </w:rPr>
            </w:pPr>
          </w:p>
        </w:tc>
        <w:tc>
          <w:tcPr>
            <w:tcW w:w="85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5</w:t>
            </w:r>
          </w:p>
        </w:tc>
        <w:tc>
          <w:tcPr>
            <w:tcW w:w="85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w:t>
            </w:r>
          </w:p>
        </w:tc>
        <w:tc>
          <w:tcPr>
            <w:tcW w:w="104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六盘水市</w:t>
            </w:r>
          </w:p>
        </w:tc>
        <w:tc>
          <w:tcPr>
            <w:tcW w:w="94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盘州市</w:t>
            </w:r>
          </w:p>
        </w:tc>
        <w:tc>
          <w:tcPr>
            <w:tcW w:w="212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背阴坡至亮山/亮山至海铺</w:t>
            </w:r>
            <w:r>
              <w:rPr>
                <w:rFonts w:hint="eastAsia" w:ascii="宋体" w:hAnsi="宋体" w:cs="宋体"/>
                <w:color w:val="000000"/>
                <w:kern w:val="0"/>
                <w:sz w:val="18"/>
                <w:szCs w:val="18"/>
              </w:rPr>
              <w:t>公路</w:t>
            </w:r>
          </w:p>
        </w:tc>
        <w:tc>
          <w:tcPr>
            <w:tcW w:w="99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改扩建</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15.5</w:t>
            </w:r>
          </w:p>
        </w:tc>
        <w:tc>
          <w:tcPr>
            <w:tcW w:w="712" w:type="dxa"/>
          </w:tcPr>
          <w:p>
            <w:pPr>
              <w:widowControl/>
              <w:spacing w:line="240" w:lineRule="auto"/>
              <w:jc w:val="center"/>
              <w:rPr>
                <w:rFonts w:cs="宋体" w:asciiTheme="majorEastAsia" w:hAnsiTheme="majorEastAsia" w:eastAsiaTheme="majorEastAsia"/>
                <w:kern w:val="0"/>
                <w:sz w:val="18"/>
                <w:szCs w:val="18"/>
              </w:rPr>
            </w:pPr>
          </w:p>
        </w:tc>
        <w:tc>
          <w:tcPr>
            <w:tcW w:w="72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15.5</w:t>
            </w:r>
          </w:p>
        </w:tc>
        <w:tc>
          <w:tcPr>
            <w:tcW w:w="708"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p>
        </w:tc>
        <w:tc>
          <w:tcPr>
            <w:tcW w:w="113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8.5</w:t>
            </w:r>
          </w:p>
        </w:tc>
        <w:tc>
          <w:tcPr>
            <w:tcW w:w="127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10850</w:t>
            </w:r>
          </w:p>
        </w:tc>
        <w:tc>
          <w:tcPr>
            <w:tcW w:w="1230" w:type="dxa"/>
            <w:vAlign w:val="center"/>
          </w:tcPr>
          <w:p>
            <w:pPr>
              <w:widowControl/>
              <w:spacing w:line="240" w:lineRule="auto"/>
              <w:jc w:val="center"/>
              <w:rPr>
                <w:rFonts w:cs="宋体" w:asciiTheme="majorEastAsia" w:hAnsiTheme="majorEastAsia" w:eastAsiaTheme="majorEastAsia"/>
                <w:kern w:val="0"/>
                <w:sz w:val="18"/>
                <w:szCs w:val="18"/>
              </w:rPr>
            </w:pPr>
          </w:p>
        </w:tc>
        <w:tc>
          <w:tcPr>
            <w:tcW w:w="85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5</w:t>
            </w:r>
          </w:p>
        </w:tc>
        <w:tc>
          <w:tcPr>
            <w:tcW w:w="85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w:t>
            </w:r>
          </w:p>
        </w:tc>
        <w:tc>
          <w:tcPr>
            <w:tcW w:w="104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六盘水市</w:t>
            </w:r>
          </w:p>
        </w:tc>
        <w:tc>
          <w:tcPr>
            <w:tcW w:w="94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盘州市</w:t>
            </w:r>
          </w:p>
        </w:tc>
        <w:tc>
          <w:tcPr>
            <w:tcW w:w="212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乐民至石桥/石桥至妥乐</w:t>
            </w:r>
            <w:r>
              <w:rPr>
                <w:rFonts w:hint="eastAsia" w:ascii="宋体" w:hAnsi="宋体" w:cs="宋体"/>
                <w:color w:val="000000"/>
                <w:kern w:val="0"/>
                <w:sz w:val="18"/>
                <w:szCs w:val="18"/>
              </w:rPr>
              <w:t>公路</w:t>
            </w:r>
          </w:p>
        </w:tc>
        <w:tc>
          <w:tcPr>
            <w:tcW w:w="99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改扩建</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17</w:t>
            </w:r>
          </w:p>
        </w:tc>
        <w:tc>
          <w:tcPr>
            <w:tcW w:w="712" w:type="dxa"/>
          </w:tcPr>
          <w:p>
            <w:pPr>
              <w:widowControl/>
              <w:spacing w:line="240" w:lineRule="auto"/>
              <w:jc w:val="center"/>
              <w:rPr>
                <w:rFonts w:cs="宋体" w:asciiTheme="majorEastAsia" w:hAnsiTheme="majorEastAsia" w:eastAsiaTheme="majorEastAsia"/>
                <w:kern w:val="0"/>
                <w:sz w:val="18"/>
                <w:szCs w:val="18"/>
              </w:rPr>
            </w:pPr>
          </w:p>
        </w:tc>
        <w:tc>
          <w:tcPr>
            <w:tcW w:w="72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17</w:t>
            </w:r>
          </w:p>
        </w:tc>
        <w:tc>
          <w:tcPr>
            <w:tcW w:w="708"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p>
        </w:tc>
        <w:tc>
          <w:tcPr>
            <w:tcW w:w="113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10</w:t>
            </w:r>
          </w:p>
        </w:tc>
        <w:tc>
          <w:tcPr>
            <w:tcW w:w="127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34000</w:t>
            </w:r>
          </w:p>
        </w:tc>
        <w:tc>
          <w:tcPr>
            <w:tcW w:w="1230" w:type="dxa"/>
            <w:vAlign w:val="center"/>
          </w:tcPr>
          <w:p>
            <w:pPr>
              <w:widowControl/>
              <w:spacing w:line="240" w:lineRule="auto"/>
              <w:jc w:val="center"/>
              <w:rPr>
                <w:rFonts w:cs="宋体" w:asciiTheme="majorEastAsia" w:hAnsiTheme="majorEastAsia" w:eastAsiaTheme="majorEastAsia"/>
                <w:kern w:val="0"/>
                <w:sz w:val="18"/>
                <w:szCs w:val="18"/>
              </w:rPr>
            </w:pPr>
          </w:p>
        </w:tc>
        <w:tc>
          <w:tcPr>
            <w:tcW w:w="85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5</w:t>
            </w:r>
          </w:p>
        </w:tc>
        <w:tc>
          <w:tcPr>
            <w:tcW w:w="85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56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4</w:t>
            </w:r>
          </w:p>
        </w:tc>
        <w:tc>
          <w:tcPr>
            <w:tcW w:w="104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六盘水市</w:t>
            </w:r>
          </w:p>
        </w:tc>
        <w:tc>
          <w:tcPr>
            <w:tcW w:w="94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盘州市</w:t>
            </w:r>
          </w:p>
        </w:tc>
        <w:tc>
          <w:tcPr>
            <w:tcW w:w="212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娘娘山至淤泥</w:t>
            </w:r>
            <w:r>
              <w:rPr>
                <w:rFonts w:hint="eastAsia" w:ascii="宋体" w:hAnsi="宋体" w:cs="宋体"/>
                <w:color w:val="000000"/>
                <w:kern w:val="0"/>
                <w:sz w:val="18"/>
                <w:szCs w:val="18"/>
              </w:rPr>
              <w:t>公路</w:t>
            </w:r>
          </w:p>
        </w:tc>
        <w:tc>
          <w:tcPr>
            <w:tcW w:w="99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改扩建</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37</w:t>
            </w:r>
          </w:p>
        </w:tc>
        <w:tc>
          <w:tcPr>
            <w:tcW w:w="712" w:type="dxa"/>
          </w:tcPr>
          <w:p>
            <w:pPr>
              <w:widowControl/>
              <w:spacing w:line="240" w:lineRule="auto"/>
              <w:jc w:val="center"/>
              <w:rPr>
                <w:rFonts w:cs="宋体" w:asciiTheme="majorEastAsia" w:hAnsiTheme="majorEastAsia" w:eastAsiaTheme="majorEastAsia"/>
                <w:kern w:val="0"/>
                <w:sz w:val="18"/>
                <w:szCs w:val="18"/>
              </w:rPr>
            </w:pPr>
          </w:p>
        </w:tc>
        <w:tc>
          <w:tcPr>
            <w:tcW w:w="72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37</w:t>
            </w:r>
          </w:p>
        </w:tc>
        <w:tc>
          <w:tcPr>
            <w:tcW w:w="708"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p>
        </w:tc>
        <w:tc>
          <w:tcPr>
            <w:tcW w:w="113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8.5</w:t>
            </w:r>
          </w:p>
        </w:tc>
        <w:tc>
          <w:tcPr>
            <w:tcW w:w="127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40700</w:t>
            </w:r>
          </w:p>
        </w:tc>
        <w:tc>
          <w:tcPr>
            <w:tcW w:w="1230" w:type="dxa"/>
            <w:vAlign w:val="center"/>
          </w:tcPr>
          <w:p>
            <w:pPr>
              <w:widowControl/>
              <w:spacing w:line="240" w:lineRule="auto"/>
              <w:jc w:val="center"/>
              <w:rPr>
                <w:rFonts w:cs="宋体" w:asciiTheme="majorEastAsia" w:hAnsiTheme="majorEastAsia" w:eastAsiaTheme="majorEastAsia"/>
                <w:kern w:val="0"/>
                <w:sz w:val="18"/>
                <w:szCs w:val="18"/>
              </w:rPr>
            </w:pPr>
          </w:p>
        </w:tc>
        <w:tc>
          <w:tcPr>
            <w:tcW w:w="85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5</w:t>
            </w:r>
          </w:p>
        </w:tc>
        <w:tc>
          <w:tcPr>
            <w:tcW w:w="85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5</w:t>
            </w:r>
          </w:p>
        </w:tc>
        <w:tc>
          <w:tcPr>
            <w:tcW w:w="104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六盘水市</w:t>
            </w:r>
          </w:p>
        </w:tc>
        <w:tc>
          <w:tcPr>
            <w:tcW w:w="94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盘州市</w:t>
            </w:r>
          </w:p>
        </w:tc>
        <w:tc>
          <w:tcPr>
            <w:tcW w:w="212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八担山至乌蒙草原</w:t>
            </w:r>
            <w:r>
              <w:rPr>
                <w:rFonts w:hint="eastAsia" w:ascii="宋体" w:hAnsi="宋体" w:cs="宋体"/>
                <w:color w:val="000000"/>
                <w:kern w:val="0"/>
                <w:sz w:val="18"/>
                <w:szCs w:val="18"/>
              </w:rPr>
              <w:t>公路</w:t>
            </w:r>
          </w:p>
        </w:tc>
        <w:tc>
          <w:tcPr>
            <w:tcW w:w="99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改扩建</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9</w:t>
            </w:r>
          </w:p>
        </w:tc>
        <w:tc>
          <w:tcPr>
            <w:tcW w:w="712" w:type="dxa"/>
          </w:tcPr>
          <w:p>
            <w:pPr>
              <w:widowControl/>
              <w:spacing w:line="240" w:lineRule="auto"/>
              <w:jc w:val="center"/>
              <w:rPr>
                <w:rFonts w:cs="宋体" w:asciiTheme="majorEastAsia" w:hAnsiTheme="majorEastAsia" w:eastAsiaTheme="majorEastAsia"/>
                <w:kern w:val="0"/>
                <w:sz w:val="18"/>
                <w:szCs w:val="18"/>
              </w:rPr>
            </w:pPr>
          </w:p>
        </w:tc>
        <w:tc>
          <w:tcPr>
            <w:tcW w:w="72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9</w:t>
            </w:r>
          </w:p>
        </w:tc>
        <w:tc>
          <w:tcPr>
            <w:tcW w:w="708"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p>
        </w:tc>
        <w:tc>
          <w:tcPr>
            <w:tcW w:w="113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8.5</w:t>
            </w:r>
          </w:p>
        </w:tc>
        <w:tc>
          <w:tcPr>
            <w:tcW w:w="127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11115</w:t>
            </w:r>
          </w:p>
        </w:tc>
        <w:tc>
          <w:tcPr>
            <w:tcW w:w="1230" w:type="dxa"/>
            <w:vAlign w:val="center"/>
          </w:tcPr>
          <w:p>
            <w:pPr>
              <w:widowControl/>
              <w:spacing w:line="240" w:lineRule="auto"/>
              <w:jc w:val="center"/>
              <w:rPr>
                <w:rFonts w:cs="宋体" w:asciiTheme="majorEastAsia" w:hAnsiTheme="majorEastAsia" w:eastAsiaTheme="majorEastAsia"/>
                <w:kern w:val="0"/>
                <w:sz w:val="18"/>
                <w:szCs w:val="18"/>
              </w:rPr>
            </w:pPr>
          </w:p>
        </w:tc>
        <w:tc>
          <w:tcPr>
            <w:tcW w:w="85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5</w:t>
            </w:r>
          </w:p>
        </w:tc>
        <w:tc>
          <w:tcPr>
            <w:tcW w:w="85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6</w:t>
            </w:r>
          </w:p>
        </w:tc>
        <w:tc>
          <w:tcPr>
            <w:tcW w:w="104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六盘水市</w:t>
            </w:r>
          </w:p>
        </w:tc>
        <w:tc>
          <w:tcPr>
            <w:tcW w:w="94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钟山区</w:t>
            </w:r>
          </w:p>
        </w:tc>
        <w:tc>
          <w:tcPr>
            <w:tcW w:w="212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韭菜坪至艾家坪</w:t>
            </w:r>
            <w:r>
              <w:rPr>
                <w:rFonts w:hint="eastAsia" w:ascii="宋体" w:hAnsi="宋体" w:cs="宋体"/>
                <w:color w:val="000000"/>
                <w:kern w:val="0"/>
                <w:sz w:val="18"/>
                <w:szCs w:val="18"/>
              </w:rPr>
              <w:t>公路</w:t>
            </w:r>
          </w:p>
        </w:tc>
        <w:tc>
          <w:tcPr>
            <w:tcW w:w="99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改扩建</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21</w:t>
            </w:r>
          </w:p>
        </w:tc>
        <w:tc>
          <w:tcPr>
            <w:tcW w:w="712" w:type="dxa"/>
          </w:tcPr>
          <w:p>
            <w:pPr>
              <w:widowControl/>
              <w:spacing w:line="240" w:lineRule="auto"/>
              <w:jc w:val="center"/>
              <w:rPr>
                <w:rFonts w:cs="宋体" w:asciiTheme="majorEastAsia" w:hAnsiTheme="majorEastAsia" w:eastAsiaTheme="majorEastAsia"/>
                <w:kern w:val="0"/>
                <w:sz w:val="18"/>
                <w:szCs w:val="18"/>
              </w:rPr>
            </w:pPr>
          </w:p>
        </w:tc>
        <w:tc>
          <w:tcPr>
            <w:tcW w:w="72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21</w:t>
            </w:r>
          </w:p>
        </w:tc>
        <w:tc>
          <w:tcPr>
            <w:tcW w:w="708"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p>
        </w:tc>
        <w:tc>
          <w:tcPr>
            <w:tcW w:w="113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8.5</w:t>
            </w:r>
          </w:p>
        </w:tc>
        <w:tc>
          <w:tcPr>
            <w:tcW w:w="127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42000</w:t>
            </w:r>
          </w:p>
        </w:tc>
        <w:tc>
          <w:tcPr>
            <w:tcW w:w="1230" w:type="dxa"/>
            <w:vAlign w:val="center"/>
          </w:tcPr>
          <w:p>
            <w:pPr>
              <w:widowControl/>
              <w:spacing w:line="240" w:lineRule="auto"/>
              <w:jc w:val="center"/>
              <w:rPr>
                <w:rFonts w:cs="宋体" w:asciiTheme="majorEastAsia" w:hAnsiTheme="majorEastAsia" w:eastAsiaTheme="majorEastAsia"/>
                <w:kern w:val="0"/>
                <w:sz w:val="18"/>
                <w:szCs w:val="18"/>
              </w:rPr>
            </w:pPr>
          </w:p>
        </w:tc>
        <w:tc>
          <w:tcPr>
            <w:tcW w:w="85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5</w:t>
            </w:r>
          </w:p>
        </w:tc>
        <w:tc>
          <w:tcPr>
            <w:tcW w:w="85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7</w:t>
            </w:r>
          </w:p>
        </w:tc>
        <w:tc>
          <w:tcPr>
            <w:tcW w:w="104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六盘水市</w:t>
            </w:r>
          </w:p>
        </w:tc>
        <w:tc>
          <w:tcPr>
            <w:tcW w:w="94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钟山区</w:t>
            </w:r>
          </w:p>
        </w:tc>
        <w:tc>
          <w:tcPr>
            <w:tcW w:w="212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马落箐至纸厂</w:t>
            </w:r>
            <w:r>
              <w:rPr>
                <w:rFonts w:hint="eastAsia" w:ascii="宋体" w:hAnsi="宋体" w:cs="宋体"/>
                <w:color w:val="000000"/>
                <w:kern w:val="0"/>
                <w:sz w:val="18"/>
                <w:szCs w:val="18"/>
              </w:rPr>
              <w:t>公路</w:t>
            </w:r>
          </w:p>
        </w:tc>
        <w:tc>
          <w:tcPr>
            <w:tcW w:w="99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改扩建</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w:t>
            </w:r>
          </w:p>
        </w:tc>
        <w:tc>
          <w:tcPr>
            <w:tcW w:w="712" w:type="dxa"/>
          </w:tcPr>
          <w:p>
            <w:pPr>
              <w:widowControl/>
              <w:spacing w:line="240" w:lineRule="auto"/>
              <w:jc w:val="center"/>
              <w:rPr>
                <w:rFonts w:cs="宋体" w:asciiTheme="majorEastAsia" w:hAnsiTheme="majorEastAsia" w:eastAsiaTheme="majorEastAsia"/>
                <w:kern w:val="0"/>
                <w:sz w:val="18"/>
                <w:szCs w:val="18"/>
              </w:rPr>
            </w:pPr>
          </w:p>
        </w:tc>
        <w:tc>
          <w:tcPr>
            <w:tcW w:w="72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w:t>
            </w:r>
          </w:p>
        </w:tc>
        <w:tc>
          <w:tcPr>
            <w:tcW w:w="708"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p>
        </w:tc>
        <w:tc>
          <w:tcPr>
            <w:tcW w:w="113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8.5</w:t>
            </w:r>
          </w:p>
        </w:tc>
        <w:tc>
          <w:tcPr>
            <w:tcW w:w="127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4500</w:t>
            </w:r>
          </w:p>
        </w:tc>
        <w:tc>
          <w:tcPr>
            <w:tcW w:w="1230" w:type="dxa"/>
            <w:vAlign w:val="center"/>
          </w:tcPr>
          <w:p>
            <w:pPr>
              <w:widowControl/>
              <w:spacing w:line="240" w:lineRule="auto"/>
              <w:jc w:val="center"/>
              <w:rPr>
                <w:rFonts w:cs="宋体" w:asciiTheme="majorEastAsia" w:hAnsiTheme="majorEastAsia" w:eastAsiaTheme="majorEastAsia"/>
                <w:kern w:val="0"/>
                <w:sz w:val="18"/>
                <w:szCs w:val="18"/>
              </w:rPr>
            </w:pPr>
          </w:p>
        </w:tc>
        <w:tc>
          <w:tcPr>
            <w:tcW w:w="85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5</w:t>
            </w:r>
          </w:p>
        </w:tc>
        <w:tc>
          <w:tcPr>
            <w:tcW w:w="85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8</w:t>
            </w:r>
          </w:p>
        </w:tc>
        <w:tc>
          <w:tcPr>
            <w:tcW w:w="104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六盘水市</w:t>
            </w:r>
          </w:p>
        </w:tc>
        <w:tc>
          <w:tcPr>
            <w:tcW w:w="94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水城区</w:t>
            </w:r>
          </w:p>
        </w:tc>
        <w:tc>
          <w:tcPr>
            <w:tcW w:w="212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野鸡坪至森林公园</w:t>
            </w:r>
            <w:r>
              <w:rPr>
                <w:rFonts w:hint="eastAsia" w:ascii="宋体" w:hAnsi="宋体" w:cs="宋体"/>
                <w:color w:val="000000"/>
                <w:kern w:val="0"/>
                <w:sz w:val="18"/>
                <w:szCs w:val="18"/>
              </w:rPr>
              <w:t>公路</w:t>
            </w:r>
          </w:p>
        </w:tc>
        <w:tc>
          <w:tcPr>
            <w:tcW w:w="99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改扩建</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10</w:t>
            </w:r>
          </w:p>
        </w:tc>
        <w:tc>
          <w:tcPr>
            <w:tcW w:w="712" w:type="dxa"/>
          </w:tcPr>
          <w:p>
            <w:pPr>
              <w:widowControl/>
              <w:spacing w:line="240" w:lineRule="auto"/>
              <w:jc w:val="center"/>
              <w:rPr>
                <w:rFonts w:cs="宋体" w:asciiTheme="majorEastAsia" w:hAnsiTheme="majorEastAsia" w:eastAsiaTheme="majorEastAsia"/>
                <w:kern w:val="0"/>
                <w:sz w:val="18"/>
                <w:szCs w:val="18"/>
              </w:rPr>
            </w:pPr>
          </w:p>
        </w:tc>
        <w:tc>
          <w:tcPr>
            <w:tcW w:w="72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p>
        </w:tc>
        <w:tc>
          <w:tcPr>
            <w:tcW w:w="708"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10</w:t>
            </w:r>
          </w:p>
        </w:tc>
        <w:tc>
          <w:tcPr>
            <w:tcW w:w="113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7.5</w:t>
            </w:r>
          </w:p>
        </w:tc>
        <w:tc>
          <w:tcPr>
            <w:tcW w:w="127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5000</w:t>
            </w:r>
          </w:p>
        </w:tc>
        <w:tc>
          <w:tcPr>
            <w:tcW w:w="1230" w:type="dxa"/>
            <w:vAlign w:val="center"/>
          </w:tcPr>
          <w:p>
            <w:pPr>
              <w:widowControl/>
              <w:spacing w:line="240" w:lineRule="auto"/>
              <w:jc w:val="center"/>
              <w:rPr>
                <w:rFonts w:cs="宋体" w:asciiTheme="majorEastAsia" w:hAnsiTheme="majorEastAsia" w:eastAsiaTheme="majorEastAsia"/>
                <w:kern w:val="0"/>
                <w:sz w:val="18"/>
                <w:szCs w:val="18"/>
              </w:rPr>
            </w:pPr>
          </w:p>
        </w:tc>
        <w:tc>
          <w:tcPr>
            <w:tcW w:w="85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5</w:t>
            </w:r>
          </w:p>
        </w:tc>
        <w:tc>
          <w:tcPr>
            <w:tcW w:w="85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9</w:t>
            </w:r>
          </w:p>
        </w:tc>
        <w:tc>
          <w:tcPr>
            <w:tcW w:w="104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六盘水市</w:t>
            </w:r>
          </w:p>
        </w:tc>
        <w:tc>
          <w:tcPr>
            <w:tcW w:w="94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钟山区</w:t>
            </w:r>
          </w:p>
        </w:tc>
        <w:tc>
          <w:tcPr>
            <w:tcW w:w="212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德坞至双洞</w:t>
            </w:r>
            <w:r>
              <w:rPr>
                <w:rFonts w:hint="eastAsia" w:ascii="宋体" w:hAnsi="宋体" w:cs="宋体"/>
                <w:color w:val="000000"/>
                <w:kern w:val="0"/>
                <w:sz w:val="18"/>
                <w:szCs w:val="18"/>
              </w:rPr>
              <w:t>公路</w:t>
            </w:r>
          </w:p>
        </w:tc>
        <w:tc>
          <w:tcPr>
            <w:tcW w:w="99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改扩建</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5</w:t>
            </w:r>
          </w:p>
        </w:tc>
        <w:tc>
          <w:tcPr>
            <w:tcW w:w="712" w:type="dxa"/>
          </w:tcPr>
          <w:p>
            <w:pPr>
              <w:widowControl/>
              <w:spacing w:line="240" w:lineRule="auto"/>
              <w:jc w:val="center"/>
              <w:rPr>
                <w:rFonts w:cs="宋体" w:asciiTheme="majorEastAsia" w:hAnsiTheme="majorEastAsia" w:eastAsiaTheme="majorEastAsia"/>
                <w:kern w:val="0"/>
                <w:sz w:val="18"/>
                <w:szCs w:val="18"/>
              </w:rPr>
            </w:pPr>
          </w:p>
        </w:tc>
        <w:tc>
          <w:tcPr>
            <w:tcW w:w="72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5</w:t>
            </w:r>
          </w:p>
        </w:tc>
        <w:tc>
          <w:tcPr>
            <w:tcW w:w="708"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p>
        </w:tc>
        <w:tc>
          <w:tcPr>
            <w:tcW w:w="113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8.5</w:t>
            </w:r>
          </w:p>
        </w:tc>
        <w:tc>
          <w:tcPr>
            <w:tcW w:w="127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7500</w:t>
            </w:r>
          </w:p>
        </w:tc>
        <w:tc>
          <w:tcPr>
            <w:tcW w:w="1230" w:type="dxa"/>
            <w:vAlign w:val="center"/>
          </w:tcPr>
          <w:p>
            <w:pPr>
              <w:widowControl/>
              <w:spacing w:line="240" w:lineRule="auto"/>
              <w:jc w:val="center"/>
              <w:rPr>
                <w:rFonts w:cs="宋体" w:asciiTheme="majorEastAsia" w:hAnsiTheme="majorEastAsia" w:eastAsiaTheme="majorEastAsia"/>
                <w:kern w:val="0"/>
                <w:sz w:val="18"/>
                <w:szCs w:val="18"/>
              </w:rPr>
            </w:pPr>
          </w:p>
        </w:tc>
        <w:tc>
          <w:tcPr>
            <w:tcW w:w="85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5</w:t>
            </w:r>
          </w:p>
        </w:tc>
        <w:tc>
          <w:tcPr>
            <w:tcW w:w="85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10</w:t>
            </w:r>
          </w:p>
        </w:tc>
        <w:tc>
          <w:tcPr>
            <w:tcW w:w="104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六盘水市</w:t>
            </w:r>
          </w:p>
        </w:tc>
        <w:tc>
          <w:tcPr>
            <w:tcW w:w="94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钟山区</w:t>
            </w:r>
          </w:p>
        </w:tc>
        <w:tc>
          <w:tcPr>
            <w:tcW w:w="212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姚家营至石丫口</w:t>
            </w:r>
            <w:r>
              <w:rPr>
                <w:rFonts w:hint="eastAsia" w:ascii="宋体" w:hAnsi="宋体" w:cs="宋体"/>
                <w:color w:val="000000"/>
                <w:kern w:val="0"/>
                <w:sz w:val="18"/>
                <w:szCs w:val="18"/>
              </w:rPr>
              <w:t>公路</w:t>
            </w:r>
          </w:p>
        </w:tc>
        <w:tc>
          <w:tcPr>
            <w:tcW w:w="99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改扩建</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w:t>
            </w:r>
          </w:p>
        </w:tc>
        <w:tc>
          <w:tcPr>
            <w:tcW w:w="712" w:type="dxa"/>
          </w:tcPr>
          <w:p>
            <w:pPr>
              <w:widowControl/>
              <w:spacing w:line="240" w:lineRule="auto"/>
              <w:jc w:val="center"/>
              <w:rPr>
                <w:rFonts w:cs="宋体" w:asciiTheme="majorEastAsia" w:hAnsiTheme="majorEastAsia" w:eastAsiaTheme="majorEastAsia"/>
                <w:kern w:val="0"/>
                <w:sz w:val="18"/>
                <w:szCs w:val="18"/>
              </w:rPr>
            </w:pPr>
          </w:p>
        </w:tc>
        <w:tc>
          <w:tcPr>
            <w:tcW w:w="72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w:t>
            </w:r>
          </w:p>
        </w:tc>
        <w:tc>
          <w:tcPr>
            <w:tcW w:w="708"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p>
        </w:tc>
        <w:tc>
          <w:tcPr>
            <w:tcW w:w="113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8.5</w:t>
            </w:r>
          </w:p>
        </w:tc>
        <w:tc>
          <w:tcPr>
            <w:tcW w:w="127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4500</w:t>
            </w:r>
          </w:p>
        </w:tc>
        <w:tc>
          <w:tcPr>
            <w:tcW w:w="1230" w:type="dxa"/>
            <w:vAlign w:val="center"/>
          </w:tcPr>
          <w:p>
            <w:pPr>
              <w:widowControl/>
              <w:spacing w:line="240" w:lineRule="auto"/>
              <w:jc w:val="center"/>
              <w:rPr>
                <w:rFonts w:cs="宋体" w:asciiTheme="majorEastAsia" w:hAnsiTheme="majorEastAsia" w:eastAsiaTheme="majorEastAsia"/>
                <w:kern w:val="0"/>
                <w:sz w:val="18"/>
                <w:szCs w:val="18"/>
              </w:rPr>
            </w:pPr>
          </w:p>
        </w:tc>
        <w:tc>
          <w:tcPr>
            <w:tcW w:w="85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5</w:t>
            </w:r>
          </w:p>
        </w:tc>
        <w:tc>
          <w:tcPr>
            <w:tcW w:w="85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11</w:t>
            </w:r>
          </w:p>
        </w:tc>
        <w:tc>
          <w:tcPr>
            <w:tcW w:w="104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六盘水市</w:t>
            </w:r>
          </w:p>
        </w:tc>
        <w:tc>
          <w:tcPr>
            <w:tcW w:w="94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水城区</w:t>
            </w:r>
          </w:p>
        </w:tc>
        <w:tc>
          <w:tcPr>
            <w:tcW w:w="212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Y064官寨至刘家寨</w:t>
            </w:r>
            <w:r>
              <w:rPr>
                <w:rFonts w:hint="eastAsia" w:ascii="宋体" w:hAnsi="宋体" w:cs="宋体"/>
                <w:color w:val="000000"/>
                <w:kern w:val="0"/>
                <w:sz w:val="18"/>
                <w:szCs w:val="18"/>
              </w:rPr>
              <w:t>公路</w:t>
            </w:r>
          </w:p>
        </w:tc>
        <w:tc>
          <w:tcPr>
            <w:tcW w:w="99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改扩建</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16</w:t>
            </w:r>
          </w:p>
        </w:tc>
        <w:tc>
          <w:tcPr>
            <w:tcW w:w="712" w:type="dxa"/>
          </w:tcPr>
          <w:p>
            <w:pPr>
              <w:widowControl/>
              <w:spacing w:line="240" w:lineRule="auto"/>
              <w:jc w:val="center"/>
              <w:rPr>
                <w:rFonts w:cs="宋体" w:asciiTheme="majorEastAsia" w:hAnsiTheme="majorEastAsia" w:eastAsiaTheme="majorEastAsia"/>
                <w:kern w:val="0"/>
                <w:sz w:val="18"/>
                <w:szCs w:val="18"/>
              </w:rPr>
            </w:pPr>
          </w:p>
        </w:tc>
        <w:tc>
          <w:tcPr>
            <w:tcW w:w="72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p>
        </w:tc>
        <w:tc>
          <w:tcPr>
            <w:tcW w:w="708"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16</w:t>
            </w:r>
          </w:p>
        </w:tc>
        <w:tc>
          <w:tcPr>
            <w:tcW w:w="113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7.5</w:t>
            </w:r>
          </w:p>
        </w:tc>
        <w:tc>
          <w:tcPr>
            <w:tcW w:w="127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25000</w:t>
            </w:r>
          </w:p>
        </w:tc>
        <w:tc>
          <w:tcPr>
            <w:tcW w:w="1230" w:type="dxa"/>
            <w:vAlign w:val="center"/>
          </w:tcPr>
          <w:p>
            <w:pPr>
              <w:widowControl/>
              <w:spacing w:line="240" w:lineRule="auto"/>
              <w:jc w:val="center"/>
              <w:rPr>
                <w:rFonts w:cs="宋体" w:asciiTheme="majorEastAsia" w:hAnsiTheme="majorEastAsia" w:eastAsiaTheme="majorEastAsia"/>
                <w:kern w:val="0"/>
                <w:sz w:val="18"/>
                <w:szCs w:val="18"/>
              </w:rPr>
            </w:pPr>
          </w:p>
        </w:tc>
        <w:tc>
          <w:tcPr>
            <w:tcW w:w="85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6</w:t>
            </w:r>
          </w:p>
        </w:tc>
        <w:tc>
          <w:tcPr>
            <w:tcW w:w="85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12</w:t>
            </w:r>
          </w:p>
        </w:tc>
        <w:tc>
          <w:tcPr>
            <w:tcW w:w="104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六盘水市</w:t>
            </w:r>
          </w:p>
        </w:tc>
        <w:tc>
          <w:tcPr>
            <w:tcW w:w="94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盘州市</w:t>
            </w:r>
          </w:p>
        </w:tc>
        <w:tc>
          <w:tcPr>
            <w:tcW w:w="212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671至三间房</w:t>
            </w:r>
            <w:r>
              <w:rPr>
                <w:rFonts w:hint="eastAsia" w:ascii="宋体" w:hAnsi="宋体" w:cs="宋体"/>
                <w:color w:val="000000"/>
                <w:kern w:val="0"/>
                <w:sz w:val="18"/>
                <w:szCs w:val="18"/>
              </w:rPr>
              <w:t>公路</w:t>
            </w:r>
          </w:p>
        </w:tc>
        <w:tc>
          <w:tcPr>
            <w:tcW w:w="99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改扩建</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8</w:t>
            </w:r>
          </w:p>
        </w:tc>
        <w:tc>
          <w:tcPr>
            <w:tcW w:w="712" w:type="dxa"/>
          </w:tcPr>
          <w:p>
            <w:pPr>
              <w:widowControl/>
              <w:spacing w:line="240" w:lineRule="auto"/>
              <w:jc w:val="center"/>
              <w:rPr>
                <w:rFonts w:cs="宋体" w:asciiTheme="majorEastAsia" w:hAnsiTheme="majorEastAsia" w:eastAsiaTheme="majorEastAsia"/>
                <w:kern w:val="0"/>
                <w:sz w:val="18"/>
                <w:szCs w:val="18"/>
              </w:rPr>
            </w:pPr>
          </w:p>
        </w:tc>
        <w:tc>
          <w:tcPr>
            <w:tcW w:w="72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8</w:t>
            </w:r>
          </w:p>
        </w:tc>
        <w:tc>
          <w:tcPr>
            <w:tcW w:w="708"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p>
        </w:tc>
        <w:tc>
          <w:tcPr>
            <w:tcW w:w="113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8.5</w:t>
            </w:r>
          </w:p>
        </w:tc>
        <w:tc>
          <w:tcPr>
            <w:tcW w:w="127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9600</w:t>
            </w:r>
          </w:p>
        </w:tc>
        <w:tc>
          <w:tcPr>
            <w:tcW w:w="1230" w:type="dxa"/>
            <w:vAlign w:val="center"/>
          </w:tcPr>
          <w:p>
            <w:pPr>
              <w:widowControl/>
              <w:spacing w:line="240" w:lineRule="auto"/>
              <w:jc w:val="center"/>
              <w:rPr>
                <w:rFonts w:cs="宋体" w:asciiTheme="majorEastAsia" w:hAnsiTheme="majorEastAsia" w:eastAsiaTheme="majorEastAsia"/>
                <w:kern w:val="0"/>
                <w:sz w:val="18"/>
                <w:szCs w:val="18"/>
              </w:rPr>
            </w:pPr>
          </w:p>
        </w:tc>
        <w:tc>
          <w:tcPr>
            <w:tcW w:w="85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6</w:t>
            </w:r>
          </w:p>
        </w:tc>
        <w:tc>
          <w:tcPr>
            <w:tcW w:w="85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13</w:t>
            </w:r>
          </w:p>
        </w:tc>
        <w:tc>
          <w:tcPr>
            <w:tcW w:w="104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六盘水市</w:t>
            </w:r>
          </w:p>
        </w:tc>
        <w:tc>
          <w:tcPr>
            <w:tcW w:w="94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盘州市</w:t>
            </w:r>
          </w:p>
        </w:tc>
        <w:tc>
          <w:tcPr>
            <w:tcW w:w="212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竹海至新民</w:t>
            </w:r>
            <w:r>
              <w:rPr>
                <w:rFonts w:hint="eastAsia" w:ascii="宋体" w:hAnsi="宋体" w:cs="宋体"/>
                <w:color w:val="000000"/>
                <w:kern w:val="0"/>
                <w:sz w:val="18"/>
                <w:szCs w:val="18"/>
              </w:rPr>
              <w:t>公路</w:t>
            </w:r>
          </w:p>
        </w:tc>
        <w:tc>
          <w:tcPr>
            <w:tcW w:w="99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改扩建</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29</w:t>
            </w:r>
          </w:p>
        </w:tc>
        <w:tc>
          <w:tcPr>
            <w:tcW w:w="712" w:type="dxa"/>
          </w:tcPr>
          <w:p>
            <w:pPr>
              <w:widowControl/>
              <w:spacing w:line="240" w:lineRule="auto"/>
              <w:jc w:val="center"/>
              <w:rPr>
                <w:rFonts w:cs="宋体" w:asciiTheme="majorEastAsia" w:hAnsiTheme="majorEastAsia" w:eastAsiaTheme="majorEastAsia"/>
                <w:kern w:val="0"/>
                <w:sz w:val="18"/>
                <w:szCs w:val="18"/>
              </w:rPr>
            </w:pPr>
          </w:p>
        </w:tc>
        <w:tc>
          <w:tcPr>
            <w:tcW w:w="72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29</w:t>
            </w:r>
          </w:p>
        </w:tc>
        <w:tc>
          <w:tcPr>
            <w:tcW w:w="708"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p>
        </w:tc>
        <w:tc>
          <w:tcPr>
            <w:tcW w:w="113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8.5</w:t>
            </w:r>
          </w:p>
        </w:tc>
        <w:tc>
          <w:tcPr>
            <w:tcW w:w="127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33600</w:t>
            </w:r>
          </w:p>
        </w:tc>
        <w:tc>
          <w:tcPr>
            <w:tcW w:w="1230" w:type="dxa"/>
            <w:vAlign w:val="center"/>
          </w:tcPr>
          <w:p>
            <w:pPr>
              <w:widowControl/>
              <w:spacing w:line="240" w:lineRule="auto"/>
              <w:jc w:val="center"/>
              <w:rPr>
                <w:rFonts w:cs="宋体" w:asciiTheme="majorEastAsia" w:hAnsiTheme="majorEastAsia" w:eastAsiaTheme="majorEastAsia"/>
                <w:kern w:val="0"/>
                <w:sz w:val="18"/>
                <w:szCs w:val="18"/>
              </w:rPr>
            </w:pPr>
          </w:p>
        </w:tc>
        <w:tc>
          <w:tcPr>
            <w:tcW w:w="85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6</w:t>
            </w:r>
          </w:p>
        </w:tc>
        <w:tc>
          <w:tcPr>
            <w:tcW w:w="85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56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w:t>
            </w:r>
            <w:r>
              <w:rPr>
                <w:rFonts w:cs="宋体" w:asciiTheme="majorEastAsia" w:hAnsiTheme="majorEastAsia" w:eastAsiaTheme="majorEastAsia"/>
                <w:kern w:val="0"/>
                <w:sz w:val="18"/>
                <w:szCs w:val="18"/>
              </w:rPr>
              <w:t>4</w:t>
            </w:r>
          </w:p>
        </w:tc>
        <w:tc>
          <w:tcPr>
            <w:tcW w:w="104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六盘水市</w:t>
            </w:r>
          </w:p>
        </w:tc>
        <w:tc>
          <w:tcPr>
            <w:tcW w:w="94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钟山区</w:t>
            </w:r>
          </w:p>
        </w:tc>
        <w:tc>
          <w:tcPr>
            <w:tcW w:w="212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金盆至天生桥公路</w:t>
            </w:r>
          </w:p>
        </w:tc>
        <w:tc>
          <w:tcPr>
            <w:tcW w:w="99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改扩建</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9</w:t>
            </w:r>
          </w:p>
        </w:tc>
        <w:tc>
          <w:tcPr>
            <w:tcW w:w="712" w:type="dxa"/>
          </w:tcPr>
          <w:p>
            <w:pPr>
              <w:widowControl/>
              <w:spacing w:line="240" w:lineRule="auto"/>
              <w:jc w:val="center"/>
              <w:rPr>
                <w:rFonts w:cs="宋体" w:asciiTheme="majorEastAsia" w:hAnsiTheme="majorEastAsia" w:eastAsiaTheme="majorEastAsia"/>
                <w:kern w:val="0"/>
                <w:sz w:val="18"/>
                <w:szCs w:val="18"/>
              </w:rPr>
            </w:pPr>
          </w:p>
        </w:tc>
        <w:tc>
          <w:tcPr>
            <w:tcW w:w="72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9</w:t>
            </w:r>
          </w:p>
        </w:tc>
        <w:tc>
          <w:tcPr>
            <w:tcW w:w="708"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p>
        </w:tc>
        <w:tc>
          <w:tcPr>
            <w:tcW w:w="113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8</w:t>
            </w:r>
          </w:p>
        </w:tc>
        <w:tc>
          <w:tcPr>
            <w:tcW w:w="127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5</w:t>
            </w:r>
            <w:r>
              <w:rPr>
                <w:rFonts w:cs="宋体" w:asciiTheme="majorEastAsia" w:hAnsiTheme="majorEastAsia" w:eastAsiaTheme="majorEastAsia"/>
                <w:kern w:val="0"/>
                <w:sz w:val="18"/>
                <w:szCs w:val="18"/>
              </w:rPr>
              <w:t>000</w:t>
            </w:r>
          </w:p>
        </w:tc>
        <w:tc>
          <w:tcPr>
            <w:tcW w:w="1230" w:type="dxa"/>
            <w:vAlign w:val="center"/>
          </w:tcPr>
          <w:p>
            <w:pPr>
              <w:widowControl/>
              <w:spacing w:line="240" w:lineRule="auto"/>
              <w:jc w:val="center"/>
              <w:rPr>
                <w:rFonts w:cs="宋体" w:asciiTheme="majorEastAsia" w:hAnsiTheme="majorEastAsia" w:eastAsiaTheme="majorEastAsia"/>
                <w:kern w:val="0"/>
                <w:sz w:val="18"/>
                <w:szCs w:val="18"/>
              </w:rPr>
            </w:pPr>
          </w:p>
        </w:tc>
        <w:tc>
          <w:tcPr>
            <w:tcW w:w="85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6</w:t>
            </w:r>
          </w:p>
        </w:tc>
        <w:tc>
          <w:tcPr>
            <w:tcW w:w="85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w:t>
            </w:r>
            <w:r>
              <w:rPr>
                <w:rFonts w:cs="宋体" w:asciiTheme="majorEastAsia" w:hAnsiTheme="majorEastAsia" w:eastAsiaTheme="majorEastAsia"/>
                <w:kern w:val="0"/>
                <w:sz w:val="18"/>
                <w:szCs w:val="18"/>
              </w:rPr>
              <w:t>5</w:t>
            </w:r>
          </w:p>
        </w:tc>
        <w:tc>
          <w:tcPr>
            <w:tcW w:w="104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六盘水市</w:t>
            </w:r>
          </w:p>
        </w:tc>
        <w:tc>
          <w:tcPr>
            <w:tcW w:w="94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钟山区</w:t>
            </w:r>
          </w:p>
        </w:tc>
        <w:tc>
          <w:tcPr>
            <w:tcW w:w="212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蒿枝至牛场公路</w:t>
            </w:r>
          </w:p>
        </w:tc>
        <w:tc>
          <w:tcPr>
            <w:tcW w:w="99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改扩建</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w:t>
            </w:r>
            <w:r>
              <w:rPr>
                <w:rFonts w:cs="宋体" w:asciiTheme="majorEastAsia" w:hAnsiTheme="majorEastAsia" w:eastAsiaTheme="majorEastAsia"/>
                <w:kern w:val="0"/>
                <w:sz w:val="18"/>
                <w:szCs w:val="18"/>
              </w:rPr>
              <w:t>3</w:t>
            </w:r>
          </w:p>
        </w:tc>
        <w:tc>
          <w:tcPr>
            <w:tcW w:w="712" w:type="dxa"/>
          </w:tcPr>
          <w:p>
            <w:pPr>
              <w:widowControl/>
              <w:spacing w:line="240" w:lineRule="auto"/>
              <w:jc w:val="center"/>
              <w:rPr>
                <w:rFonts w:cs="宋体" w:asciiTheme="majorEastAsia" w:hAnsiTheme="majorEastAsia" w:eastAsiaTheme="majorEastAsia"/>
                <w:kern w:val="0"/>
                <w:sz w:val="18"/>
                <w:szCs w:val="18"/>
              </w:rPr>
            </w:pPr>
          </w:p>
        </w:tc>
        <w:tc>
          <w:tcPr>
            <w:tcW w:w="72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p>
        </w:tc>
        <w:tc>
          <w:tcPr>
            <w:tcW w:w="708"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w:t>
            </w:r>
            <w:r>
              <w:rPr>
                <w:rFonts w:cs="宋体" w:asciiTheme="majorEastAsia" w:hAnsiTheme="majorEastAsia" w:eastAsiaTheme="majorEastAsia"/>
                <w:kern w:val="0"/>
                <w:sz w:val="18"/>
                <w:szCs w:val="18"/>
              </w:rPr>
              <w:t>3</w:t>
            </w:r>
          </w:p>
        </w:tc>
        <w:tc>
          <w:tcPr>
            <w:tcW w:w="113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8</w:t>
            </w:r>
            <w:r>
              <w:rPr>
                <w:rFonts w:cs="宋体" w:asciiTheme="majorEastAsia" w:hAnsiTheme="majorEastAsia" w:eastAsiaTheme="majorEastAsia"/>
                <w:kern w:val="0"/>
                <w:sz w:val="18"/>
                <w:szCs w:val="18"/>
              </w:rPr>
              <w:t>.5</w:t>
            </w:r>
          </w:p>
        </w:tc>
        <w:tc>
          <w:tcPr>
            <w:tcW w:w="127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8</w:t>
            </w:r>
            <w:r>
              <w:rPr>
                <w:rFonts w:cs="宋体" w:asciiTheme="majorEastAsia" w:hAnsiTheme="majorEastAsia" w:eastAsiaTheme="majorEastAsia"/>
                <w:kern w:val="0"/>
                <w:sz w:val="18"/>
                <w:szCs w:val="18"/>
              </w:rPr>
              <w:t>000</w:t>
            </w:r>
          </w:p>
        </w:tc>
        <w:tc>
          <w:tcPr>
            <w:tcW w:w="1230" w:type="dxa"/>
            <w:vAlign w:val="center"/>
          </w:tcPr>
          <w:p>
            <w:pPr>
              <w:widowControl/>
              <w:spacing w:line="240" w:lineRule="auto"/>
              <w:jc w:val="center"/>
              <w:rPr>
                <w:rFonts w:cs="宋体" w:asciiTheme="majorEastAsia" w:hAnsiTheme="majorEastAsia" w:eastAsiaTheme="majorEastAsia"/>
                <w:kern w:val="0"/>
                <w:sz w:val="18"/>
                <w:szCs w:val="18"/>
              </w:rPr>
            </w:pPr>
          </w:p>
        </w:tc>
        <w:tc>
          <w:tcPr>
            <w:tcW w:w="85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6</w:t>
            </w:r>
          </w:p>
        </w:tc>
        <w:tc>
          <w:tcPr>
            <w:tcW w:w="85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w:t>
            </w:r>
            <w:r>
              <w:rPr>
                <w:rFonts w:cs="宋体" w:asciiTheme="majorEastAsia" w:hAnsiTheme="majorEastAsia" w:eastAsiaTheme="majorEastAsia"/>
                <w:kern w:val="0"/>
                <w:sz w:val="18"/>
                <w:szCs w:val="18"/>
              </w:rPr>
              <w:t>6</w:t>
            </w:r>
          </w:p>
        </w:tc>
        <w:tc>
          <w:tcPr>
            <w:tcW w:w="104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六盘水市</w:t>
            </w:r>
          </w:p>
        </w:tc>
        <w:tc>
          <w:tcPr>
            <w:tcW w:w="94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钟山区</w:t>
            </w:r>
          </w:p>
        </w:tc>
        <w:tc>
          <w:tcPr>
            <w:tcW w:w="212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金盆至锅圈岩</w:t>
            </w:r>
            <w:r>
              <w:rPr>
                <w:rFonts w:hint="eastAsia" w:ascii="宋体" w:hAnsi="宋体" w:cs="宋体"/>
                <w:color w:val="000000"/>
                <w:kern w:val="0"/>
                <w:sz w:val="18"/>
                <w:szCs w:val="18"/>
              </w:rPr>
              <w:t>公路</w:t>
            </w:r>
          </w:p>
        </w:tc>
        <w:tc>
          <w:tcPr>
            <w:tcW w:w="99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改扩建</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w:t>
            </w:r>
            <w:r>
              <w:rPr>
                <w:rFonts w:cs="宋体" w:asciiTheme="majorEastAsia" w:hAnsiTheme="majorEastAsia" w:eastAsiaTheme="majorEastAsia"/>
                <w:kern w:val="0"/>
                <w:sz w:val="18"/>
                <w:szCs w:val="18"/>
              </w:rPr>
              <w:t>2</w:t>
            </w:r>
          </w:p>
        </w:tc>
        <w:tc>
          <w:tcPr>
            <w:tcW w:w="712" w:type="dxa"/>
          </w:tcPr>
          <w:p>
            <w:pPr>
              <w:widowControl/>
              <w:spacing w:line="240" w:lineRule="auto"/>
              <w:jc w:val="center"/>
              <w:rPr>
                <w:rFonts w:cs="宋体" w:asciiTheme="majorEastAsia" w:hAnsiTheme="majorEastAsia" w:eastAsiaTheme="majorEastAsia"/>
                <w:kern w:val="0"/>
                <w:sz w:val="18"/>
                <w:szCs w:val="18"/>
              </w:rPr>
            </w:pPr>
          </w:p>
        </w:tc>
        <w:tc>
          <w:tcPr>
            <w:tcW w:w="72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w:t>
            </w:r>
            <w:r>
              <w:rPr>
                <w:rFonts w:cs="宋体" w:asciiTheme="majorEastAsia" w:hAnsiTheme="majorEastAsia" w:eastAsiaTheme="majorEastAsia"/>
                <w:kern w:val="0"/>
                <w:sz w:val="18"/>
                <w:szCs w:val="18"/>
              </w:rPr>
              <w:t>2</w:t>
            </w:r>
          </w:p>
        </w:tc>
        <w:tc>
          <w:tcPr>
            <w:tcW w:w="708"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p>
        </w:tc>
        <w:tc>
          <w:tcPr>
            <w:tcW w:w="113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8</w:t>
            </w:r>
            <w:r>
              <w:rPr>
                <w:rFonts w:cs="宋体" w:asciiTheme="majorEastAsia" w:hAnsiTheme="majorEastAsia" w:eastAsiaTheme="majorEastAsia"/>
                <w:kern w:val="0"/>
                <w:sz w:val="18"/>
                <w:szCs w:val="18"/>
              </w:rPr>
              <w:t>.5</w:t>
            </w:r>
          </w:p>
        </w:tc>
        <w:tc>
          <w:tcPr>
            <w:tcW w:w="127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w:t>
            </w:r>
            <w:r>
              <w:rPr>
                <w:rFonts w:cs="宋体" w:asciiTheme="majorEastAsia" w:hAnsiTheme="majorEastAsia" w:eastAsiaTheme="majorEastAsia"/>
                <w:kern w:val="0"/>
                <w:sz w:val="18"/>
                <w:szCs w:val="18"/>
              </w:rPr>
              <w:t>5000</w:t>
            </w:r>
          </w:p>
        </w:tc>
        <w:tc>
          <w:tcPr>
            <w:tcW w:w="1230" w:type="dxa"/>
            <w:vAlign w:val="center"/>
          </w:tcPr>
          <w:p>
            <w:pPr>
              <w:widowControl/>
              <w:spacing w:line="240" w:lineRule="auto"/>
              <w:jc w:val="center"/>
              <w:rPr>
                <w:rFonts w:cs="宋体" w:asciiTheme="majorEastAsia" w:hAnsiTheme="majorEastAsia" w:eastAsiaTheme="majorEastAsia"/>
                <w:kern w:val="0"/>
                <w:sz w:val="18"/>
                <w:szCs w:val="18"/>
              </w:rPr>
            </w:pPr>
          </w:p>
        </w:tc>
        <w:tc>
          <w:tcPr>
            <w:tcW w:w="85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6</w:t>
            </w:r>
          </w:p>
        </w:tc>
        <w:tc>
          <w:tcPr>
            <w:tcW w:w="85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w:t>
            </w:r>
            <w:r>
              <w:rPr>
                <w:rFonts w:cs="宋体" w:asciiTheme="majorEastAsia" w:hAnsiTheme="majorEastAsia" w:eastAsiaTheme="majorEastAsia"/>
                <w:kern w:val="0"/>
                <w:sz w:val="18"/>
                <w:szCs w:val="18"/>
              </w:rPr>
              <w:t>7</w:t>
            </w:r>
          </w:p>
        </w:tc>
        <w:tc>
          <w:tcPr>
            <w:tcW w:w="104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六盘水市</w:t>
            </w:r>
          </w:p>
        </w:tc>
        <w:tc>
          <w:tcPr>
            <w:tcW w:w="94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六枝特区</w:t>
            </w:r>
          </w:p>
        </w:tc>
        <w:tc>
          <w:tcPr>
            <w:tcW w:w="212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六枝至黄果树</w:t>
            </w:r>
            <w:r>
              <w:rPr>
                <w:rFonts w:hint="eastAsia" w:ascii="宋体" w:hAnsi="宋体" w:cs="宋体"/>
                <w:color w:val="000000"/>
                <w:kern w:val="0"/>
                <w:sz w:val="18"/>
                <w:szCs w:val="18"/>
              </w:rPr>
              <w:t>公路</w:t>
            </w:r>
          </w:p>
        </w:tc>
        <w:tc>
          <w:tcPr>
            <w:tcW w:w="99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改扩建</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w:t>
            </w:r>
            <w:r>
              <w:rPr>
                <w:rFonts w:cs="宋体" w:asciiTheme="majorEastAsia" w:hAnsiTheme="majorEastAsia" w:eastAsiaTheme="majorEastAsia"/>
                <w:kern w:val="0"/>
                <w:sz w:val="18"/>
                <w:szCs w:val="18"/>
              </w:rPr>
              <w:t>8.6</w:t>
            </w:r>
          </w:p>
        </w:tc>
        <w:tc>
          <w:tcPr>
            <w:tcW w:w="712" w:type="dxa"/>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w:t>
            </w:r>
            <w:r>
              <w:rPr>
                <w:rFonts w:cs="宋体" w:asciiTheme="majorEastAsia" w:hAnsiTheme="majorEastAsia" w:eastAsiaTheme="majorEastAsia"/>
                <w:kern w:val="0"/>
                <w:sz w:val="18"/>
                <w:szCs w:val="18"/>
              </w:rPr>
              <w:t>8.6</w:t>
            </w:r>
          </w:p>
        </w:tc>
        <w:tc>
          <w:tcPr>
            <w:tcW w:w="72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p>
        </w:tc>
        <w:tc>
          <w:tcPr>
            <w:tcW w:w="708"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p>
        </w:tc>
        <w:tc>
          <w:tcPr>
            <w:tcW w:w="113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w:t>
            </w:r>
            <w:r>
              <w:rPr>
                <w:rFonts w:cs="宋体" w:asciiTheme="majorEastAsia" w:hAnsiTheme="majorEastAsia" w:eastAsiaTheme="majorEastAsia"/>
                <w:kern w:val="0"/>
                <w:sz w:val="18"/>
                <w:szCs w:val="18"/>
              </w:rPr>
              <w:t>5</w:t>
            </w:r>
          </w:p>
        </w:tc>
        <w:tc>
          <w:tcPr>
            <w:tcW w:w="1276"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w:t>
            </w:r>
            <w:r>
              <w:rPr>
                <w:rFonts w:cs="宋体" w:asciiTheme="majorEastAsia" w:hAnsiTheme="majorEastAsia" w:eastAsiaTheme="majorEastAsia"/>
                <w:kern w:val="0"/>
                <w:sz w:val="18"/>
                <w:szCs w:val="18"/>
              </w:rPr>
              <w:t>01744</w:t>
            </w:r>
          </w:p>
        </w:tc>
        <w:tc>
          <w:tcPr>
            <w:tcW w:w="1230" w:type="dxa"/>
            <w:vAlign w:val="center"/>
          </w:tcPr>
          <w:p>
            <w:pPr>
              <w:widowControl/>
              <w:spacing w:line="240" w:lineRule="auto"/>
              <w:jc w:val="center"/>
              <w:rPr>
                <w:rFonts w:cs="宋体" w:asciiTheme="majorEastAsia" w:hAnsiTheme="majorEastAsia" w:eastAsiaTheme="majorEastAsia"/>
                <w:kern w:val="0"/>
                <w:sz w:val="18"/>
                <w:szCs w:val="18"/>
              </w:rPr>
            </w:pPr>
          </w:p>
        </w:tc>
        <w:tc>
          <w:tcPr>
            <w:tcW w:w="85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6</w:t>
            </w:r>
          </w:p>
        </w:tc>
        <w:tc>
          <w:tcPr>
            <w:tcW w:w="85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8</w:t>
            </w:r>
          </w:p>
        </w:tc>
      </w:tr>
    </w:tbl>
    <w:p>
      <w:pPr>
        <w:sectPr>
          <w:pgSz w:w="16838" w:h="11906" w:orient="landscape"/>
          <w:pgMar w:top="1800" w:right="1440" w:bottom="1800" w:left="1440" w:header="851" w:footer="992" w:gutter="0"/>
          <w:cols w:space="425" w:num="1"/>
          <w:docGrid w:type="lines" w:linePitch="381" w:charSpace="0"/>
        </w:sectPr>
      </w:pPr>
    </w:p>
    <w:p>
      <w:pPr>
        <w:keepNext/>
        <w:keepLines/>
        <w:spacing w:after="100" w:afterAutospacing="1"/>
        <w:outlineLvl w:val="0"/>
        <w:rPr>
          <w:rFonts w:cs="宋体" w:asciiTheme="majorEastAsia" w:hAnsiTheme="majorEastAsia" w:eastAsiaTheme="majorEastAsia"/>
          <w:b/>
          <w:bCs/>
          <w:kern w:val="44"/>
          <w:sz w:val="32"/>
          <w:szCs w:val="44"/>
        </w:rPr>
      </w:pPr>
      <w:bookmarkStart w:id="1010" w:name="_Toc89102221"/>
      <w:r>
        <w:rPr>
          <w:rFonts w:hint="eastAsia" w:cs="宋体" w:asciiTheme="majorEastAsia" w:hAnsiTheme="majorEastAsia" w:eastAsiaTheme="majorEastAsia"/>
          <w:b/>
          <w:bCs/>
          <w:kern w:val="44"/>
          <w:sz w:val="32"/>
          <w:szCs w:val="44"/>
        </w:rPr>
        <w:t>附表8</w:t>
      </w:r>
      <w:r>
        <w:rPr>
          <w:rFonts w:asciiTheme="majorEastAsia" w:hAnsiTheme="majorEastAsia" w:eastAsiaTheme="majorEastAsia"/>
          <w:b/>
          <w:bCs/>
          <w:kern w:val="44"/>
          <w:sz w:val="32"/>
          <w:szCs w:val="44"/>
        </w:rPr>
        <w:t xml:space="preserve"> </w:t>
      </w:r>
      <w:r>
        <w:rPr>
          <w:rFonts w:hint="eastAsia" w:asciiTheme="majorEastAsia" w:hAnsiTheme="majorEastAsia" w:eastAsiaTheme="majorEastAsia"/>
          <w:b/>
          <w:bCs/>
          <w:kern w:val="44"/>
          <w:sz w:val="32"/>
          <w:szCs w:val="44"/>
        </w:rPr>
        <w:t xml:space="preserve"> </w:t>
      </w:r>
      <w:r>
        <w:rPr>
          <w:rFonts w:hint="eastAsia" w:cs="宋体" w:asciiTheme="majorEastAsia" w:hAnsiTheme="majorEastAsia" w:eastAsiaTheme="majorEastAsia"/>
          <w:b/>
          <w:bCs/>
          <w:kern w:val="44"/>
          <w:sz w:val="32"/>
          <w:szCs w:val="44"/>
        </w:rPr>
        <w:t>六盘水市</w:t>
      </w:r>
      <w:r>
        <w:rPr>
          <w:rFonts w:asciiTheme="majorEastAsia" w:hAnsiTheme="majorEastAsia" w:eastAsiaTheme="majorEastAsia"/>
          <w:b/>
          <w:bCs/>
          <w:kern w:val="44"/>
          <w:sz w:val="32"/>
          <w:szCs w:val="44"/>
        </w:rPr>
        <w:t>“</w:t>
      </w:r>
      <w:r>
        <w:rPr>
          <w:rFonts w:hint="eastAsia" w:cs="宋体" w:asciiTheme="majorEastAsia" w:hAnsiTheme="majorEastAsia" w:eastAsiaTheme="majorEastAsia"/>
          <w:b/>
          <w:bCs/>
          <w:kern w:val="44"/>
          <w:sz w:val="32"/>
          <w:szCs w:val="44"/>
        </w:rPr>
        <w:t>十四五</w:t>
      </w:r>
      <w:r>
        <w:rPr>
          <w:rFonts w:asciiTheme="majorEastAsia" w:hAnsiTheme="majorEastAsia" w:eastAsiaTheme="majorEastAsia"/>
          <w:b/>
          <w:bCs/>
          <w:kern w:val="44"/>
          <w:sz w:val="32"/>
          <w:szCs w:val="44"/>
        </w:rPr>
        <w:t>”</w:t>
      </w:r>
      <w:r>
        <w:rPr>
          <w:rFonts w:hint="eastAsia" w:cs="宋体" w:asciiTheme="majorEastAsia" w:hAnsiTheme="majorEastAsia" w:eastAsiaTheme="majorEastAsia"/>
          <w:b/>
          <w:bCs/>
          <w:kern w:val="44"/>
          <w:sz w:val="32"/>
          <w:szCs w:val="44"/>
        </w:rPr>
        <w:t>联网路建设项目表</w:t>
      </w:r>
      <w:bookmarkEnd w:id="1010"/>
    </w:p>
    <w:tbl>
      <w:tblPr>
        <w:tblStyle w:val="19"/>
        <w:tblW w:w="13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5"/>
        <w:gridCol w:w="1008"/>
        <w:gridCol w:w="993"/>
        <w:gridCol w:w="1417"/>
        <w:gridCol w:w="1134"/>
        <w:gridCol w:w="709"/>
        <w:gridCol w:w="709"/>
        <w:gridCol w:w="992"/>
        <w:gridCol w:w="992"/>
        <w:gridCol w:w="1134"/>
        <w:gridCol w:w="851"/>
        <w:gridCol w:w="850"/>
        <w:gridCol w:w="2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95" w:type="dxa"/>
            <w:vMerge w:val="restart"/>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序号</w:t>
            </w:r>
          </w:p>
        </w:tc>
        <w:tc>
          <w:tcPr>
            <w:tcW w:w="2001" w:type="dxa"/>
            <w:gridSpan w:val="2"/>
            <w:vMerge w:val="restart"/>
            <w:shd w:val="clear" w:color="auto" w:fill="auto"/>
            <w:noWrap/>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地区</w:t>
            </w:r>
          </w:p>
        </w:tc>
        <w:tc>
          <w:tcPr>
            <w:tcW w:w="1417" w:type="dxa"/>
            <w:vMerge w:val="restart"/>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项目名称</w:t>
            </w:r>
          </w:p>
        </w:tc>
        <w:tc>
          <w:tcPr>
            <w:tcW w:w="1134" w:type="dxa"/>
            <w:vMerge w:val="restart"/>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串联建制村名称</w:t>
            </w:r>
          </w:p>
        </w:tc>
        <w:tc>
          <w:tcPr>
            <w:tcW w:w="6237" w:type="dxa"/>
            <w:gridSpan w:val="7"/>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拟规划建设情况</w:t>
            </w:r>
          </w:p>
        </w:tc>
        <w:tc>
          <w:tcPr>
            <w:tcW w:w="2471" w:type="dxa"/>
            <w:vMerge w:val="restart"/>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595" w:type="dxa"/>
            <w:vMerge w:val="continue"/>
            <w:vAlign w:val="center"/>
          </w:tcPr>
          <w:p>
            <w:pPr>
              <w:widowControl/>
              <w:spacing w:line="240" w:lineRule="auto"/>
              <w:jc w:val="left"/>
              <w:rPr>
                <w:rFonts w:cs="宋体" w:asciiTheme="majorEastAsia" w:hAnsiTheme="majorEastAsia" w:eastAsiaTheme="majorEastAsia"/>
                <w:b/>
                <w:bCs/>
                <w:color w:val="000000"/>
                <w:kern w:val="0"/>
                <w:sz w:val="18"/>
                <w:szCs w:val="18"/>
              </w:rPr>
            </w:pPr>
          </w:p>
        </w:tc>
        <w:tc>
          <w:tcPr>
            <w:tcW w:w="2001" w:type="dxa"/>
            <w:gridSpan w:val="2"/>
            <w:vMerge w:val="continue"/>
            <w:vAlign w:val="center"/>
          </w:tcPr>
          <w:p>
            <w:pPr>
              <w:widowControl/>
              <w:spacing w:line="240" w:lineRule="auto"/>
              <w:jc w:val="left"/>
              <w:rPr>
                <w:rFonts w:cs="宋体" w:asciiTheme="majorEastAsia" w:hAnsiTheme="majorEastAsia" w:eastAsiaTheme="majorEastAsia"/>
                <w:b/>
                <w:bCs/>
                <w:color w:val="000000"/>
                <w:kern w:val="0"/>
                <w:sz w:val="18"/>
                <w:szCs w:val="18"/>
              </w:rPr>
            </w:pPr>
          </w:p>
        </w:tc>
        <w:tc>
          <w:tcPr>
            <w:tcW w:w="1417" w:type="dxa"/>
            <w:vMerge w:val="continue"/>
            <w:vAlign w:val="center"/>
          </w:tcPr>
          <w:p>
            <w:pPr>
              <w:widowControl/>
              <w:spacing w:line="240" w:lineRule="auto"/>
              <w:jc w:val="left"/>
              <w:rPr>
                <w:rFonts w:cs="宋体" w:asciiTheme="majorEastAsia" w:hAnsiTheme="majorEastAsia" w:eastAsiaTheme="majorEastAsia"/>
                <w:b/>
                <w:bCs/>
                <w:color w:val="000000"/>
                <w:kern w:val="0"/>
                <w:sz w:val="18"/>
                <w:szCs w:val="18"/>
              </w:rPr>
            </w:pPr>
          </w:p>
        </w:tc>
        <w:tc>
          <w:tcPr>
            <w:tcW w:w="1134" w:type="dxa"/>
            <w:vMerge w:val="continue"/>
            <w:vAlign w:val="center"/>
          </w:tcPr>
          <w:p>
            <w:pPr>
              <w:widowControl/>
              <w:spacing w:line="240" w:lineRule="auto"/>
              <w:jc w:val="left"/>
              <w:rPr>
                <w:rFonts w:cs="宋体" w:asciiTheme="majorEastAsia" w:hAnsiTheme="majorEastAsia" w:eastAsiaTheme="majorEastAsia"/>
                <w:b/>
                <w:bCs/>
                <w:color w:val="000000"/>
                <w:kern w:val="0"/>
                <w:sz w:val="18"/>
                <w:szCs w:val="18"/>
              </w:rPr>
            </w:pPr>
          </w:p>
        </w:tc>
        <w:tc>
          <w:tcPr>
            <w:tcW w:w="1418" w:type="dxa"/>
            <w:gridSpan w:val="2"/>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技术等级及里程（公里）</w:t>
            </w:r>
          </w:p>
        </w:tc>
        <w:tc>
          <w:tcPr>
            <w:tcW w:w="992" w:type="dxa"/>
            <w:vMerge w:val="restart"/>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路基宽度（米）</w:t>
            </w:r>
          </w:p>
        </w:tc>
        <w:tc>
          <w:tcPr>
            <w:tcW w:w="992" w:type="dxa"/>
            <w:vMerge w:val="restart"/>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估算投资（万元）</w:t>
            </w:r>
          </w:p>
        </w:tc>
        <w:tc>
          <w:tcPr>
            <w:tcW w:w="1134" w:type="dxa"/>
            <w:vMerge w:val="restart"/>
            <w:vAlign w:val="center"/>
          </w:tcPr>
          <w:p>
            <w:pPr>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“十四五”计划投资</w:t>
            </w:r>
          </w:p>
          <w:p>
            <w:pPr>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（万元）</w:t>
            </w:r>
          </w:p>
        </w:tc>
        <w:tc>
          <w:tcPr>
            <w:tcW w:w="1701" w:type="dxa"/>
            <w:gridSpan w:val="2"/>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建设年限</w:t>
            </w:r>
          </w:p>
        </w:tc>
        <w:tc>
          <w:tcPr>
            <w:tcW w:w="2471" w:type="dxa"/>
            <w:vMerge w:val="continue"/>
            <w:vAlign w:val="center"/>
          </w:tcPr>
          <w:p>
            <w:pPr>
              <w:widowControl/>
              <w:spacing w:line="240" w:lineRule="auto"/>
              <w:jc w:val="left"/>
              <w:rPr>
                <w:rFonts w:cs="宋体" w:asciiTheme="majorEastAsia" w:hAnsiTheme="majorEastAsia" w:eastAsiaTheme="majorEastAsia"/>
                <w:b/>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95" w:type="dxa"/>
            <w:vMerge w:val="continue"/>
            <w:vAlign w:val="center"/>
          </w:tcPr>
          <w:p>
            <w:pPr>
              <w:widowControl/>
              <w:spacing w:line="240" w:lineRule="auto"/>
              <w:jc w:val="left"/>
              <w:rPr>
                <w:rFonts w:cs="宋体" w:asciiTheme="majorEastAsia" w:hAnsiTheme="majorEastAsia" w:eastAsiaTheme="majorEastAsia"/>
                <w:b/>
                <w:bCs/>
                <w:color w:val="000000"/>
                <w:kern w:val="0"/>
                <w:sz w:val="18"/>
                <w:szCs w:val="18"/>
              </w:rPr>
            </w:pPr>
          </w:p>
        </w:tc>
        <w:tc>
          <w:tcPr>
            <w:tcW w:w="1008" w:type="dxa"/>
            <w:shd w:val="clear" w:color="auto" w:fill="auto"/>
            <w:noWrap/>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市</w:t>
            </w:r>
          </w:p>
        </w:tc>
        <w:tc>
          <w:tcPr>
            <w:tcW w:w="993" w:type="dxa"/>
            <w:shd w:val="clear" w:color="auto" w:fill="auto"/>
            <w:noWrap/>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市、特区、区</w:t>
            </w:r>
          </w:p>
        </w:tc>
        <w:tc>
          <w:tcPr>
            <w:tcW w:w="1417" w:type="dxa"/>
            <w:vMerge w:val="continue"/>
            <w:vAlign w:val="center"/>
          </w:tcPr>
          <w:p>
            <w:pPr>
              <w:widowControl/>
              <w:spacing w:line="240" w:lineRule="auto"/>
              <w:jc w:val="left"/>
              <w:rPr>
                <w:rFonts w:cs="宋体" w:asciiTheme="majorEastAsia" w:hAnsiTheme="majorEastAsia" w:eastAsiaTheme="majorEastAsia"/>
                <w:b/>
                <w:bCs/>
                <w:color w:val="000000"/>
                <w:kern w:val="0"/>
                <w:sz w:val="18"/>
                <w:szCs w:val="18"/>
              </w:rPr>
            </w:pPr>
          </w:p>
        </w:tc>
        <w:tc>
          <w:tcPr>
            <w:tcW w:w="1134" w:type="dxa"/>
            <w:vMerge w:val="continue"/>
            <w:vAlign w:val="center"/>
          </w:tcPr>
          <w:p>
            <w:pPr>
              <w:widowControl/>
              <w:spacing w:line="240" w:lineRule="auto"/>
              <w:jc w:val="left"/>
              <w:rPr>
                <w:rFonts w:cs="宋体" w:asciiTheme="majorEastAsia" w:hAnsiTheme="majorEastAsia" w:eastAsiaTheme="majorEastAsia"/>
                <w:b/>
                <w:bCs/>
                <w:color w:val="000000"/>
                <w:kern w:val="0"/>
                <w:sz w:val="18"/>
                <w:szCs w:val="18"/>
              </w:rPr>
            </w:pPr>
          </w:p>
        </w:tc>
        <w:tc>
          <w:tcPr>
            <w:tcW w:w="709" w:type="dxa"/>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合计</w:t>
            </w:r>
          </w:p>
        </w:tc>
        <w:tc>
          <w:tcPr>
            <w:tcW w:w="709" w:type="dxa"/>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四级</w:t>
            </w:r>
          </w:p>
        </w:tc>
        <w:tc>
          <w:tcPr>
            <w:tcW w:w="992" w:type="dxa"/>
            <w:vMerge w:val="continue"/>
            <w:vAlign w:val="center"/>
          </w:tcPr>
          <w:p>
            <w:pPr>
              <w:widowControl/>
              <w:spacing w:line="240" w:lineRule="auto"/>
              <w:jc w:val="left"/>
              <w:rPr>
                <w:rFonts w:cs="宋体" w:asciiTheme="majorEastAsia" w:hAnsiTheme="majorEastAsia" w:eastAsiaTheme="majorEastAsia"/>
                <w:b/>
                <w:bCs/>
                <w:color w:val="000000"/>
                <w:kern w:val="0"/>
                <w:sz w:val="18"/>
                <w:szCs w:val="18"/>
              </w:rPr>
            </w:pPr>
          </w:p>
        </w:tc>
        <w:tc>
          <w:tcPr>
            <w:tcW w:w="992" w:type="dxa"/>
            <w:vMerge w:val="continue"/>
            <w:vAlign w:val="center"/>
          </w:tcPr>
          <w:p>
            <w:pPr>
              <w:widowControl/>
              <w:spacing w:line="240" w:lineRule="auto"/>
              <w:jc w:val="left"/>
              <w:rPr>
                <w:rFonts w:cs="宋体" w:asciiTheme="majorEastAsia" w:hAnsiTheme="majorEastAsia" w:eastAsiaTheme="majorEastAsia"/>
                <w:b/>
                <w:bCs/>
                <w:color w:val="000000"/>
                <w:kern w:val="0"/>
                <w:sz w:val="18"/>
                <w:szCs w:val="18"/>
              </w:rPr>
            </w:pPr>
          </w:p>
        </w:tc>
        <w:tc>
          <w:tcPr>
            <w:tcW w:w="1134" w:type="dxa"/>
            <w:vMerge w:val="continue"/>
          </w:tcPr>
          <w:p>
            <w:pPr>
              <w:widowControl/>
              <w:spacing w:line="240" w:lineRule="auto"/>
              <w:jc w:val="center"/>
              <w:rPr>
                <w:rFonts w:cs="宋体" w:asciiTheme="majorEastAsia" w:hAnsiTheme="majorEastAsia" w:eastAsiaTheme="majorEastAsia"/>
                <w:b/>
                <w:bCs/>
                <w:color w:val="000000"/>
                <w:kern w:val="0"/>
                <w:sz w:val="18"/>
                <w:szCs w:val="18"/>
              </w:rPr>
            </w:pPr>
          </w:p>
        </w:tc>
        <w:tc>
          <w:tcPr>
            <w:tcW w:w="851" w:type="dxa"/>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开工年</w:t>
            </w:r>
          </w:p>
        </w:tc>
        <w:tc>
          <w:tcPr>
            <w:tcW w:w="850" w:type="dxa"/>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完工年</w:t>
            </w:r>
          </w:p>
        </w:tc>
        <w:tc>
          <w:tcPr>
            <w:tcW w:w="2471" w:type="dxa"/>
            <w:vMerge w:val="continue"/>
            <w:vAlign w:val="center"/>
          </w:tcPr>
          <w:p>
            <w:pPr>
              <w:widowControl/>
              <w:spacing w:line="240" w:lineRule="auto"/>
              <w:jc w:val="left"/>
              <w:rPr>
                <w:rFonts w:cs="宋体" w:asciiTheme="majorEastAsia" w:hAnsiTheme="majorEastAsia" w:eastAsiaTheme="majorEastAsia"/>
                <w:b/>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96" w:type="dxa"/>
            <w:gridSpan w:val="3"/>
            <w:shd w:val="clear" w:color="auto" w:fill="auto"/>
            <w:noWrap/>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合计</w:t>
            </w:r>
          </w:p>
        </w:tc>
        <w:tc>
          <w:tcPr>
            <w:tcW w:w="1417" w:type="dxa"/>
            <w:shd w:val="clear" w:color="auto" w:fill="auto"/>
            <w:noWrap/>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　</w:t>
            </w:r>
          </w:p>
        </w:tc>
        <w:tc>
          <w:tcPr>
            <w:tcW w:w="113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　</w:t>
            </w:r>
          </w:p>
        </w:tc>
        <w:tc>
          <w:tcPr>
            <w:tcW w:w="709" w:type="dxa"/>
            <w:shd w:val="clear" w:color="auto" w:fill="auto"/>
            <w:noWrap/>
          </w:tcPr>
          <w:p>
            <w:pPr>
              <w:widowControl/>
              <w:spacing w:line="240" w:lineRule="auto"/>
              <w:jc w:val="center"/>
              <w:rPr>
                <w:rFonts w:cs="宋体" w:asciiTheme="majorEastAsia" w:hAnsiTheme="majorEastAsia" w:eastAsiaTheme="majorEastAsia"/>
                <w:b/>
                <w:bCs/>
                <w:kern w:val="0"/>
                <w:sz w:val="18"/>
                <w:szCs w:val="18"/>
              </w:rPr>
            </w:pPr>
            <w:r>
              <w:rPr>
                <w:rFonts w:cs="宋体" w:asciiTheme="majorEastAsia" w:hAnsiTheme="majorEastAsia" w:eastAsiaTheme="majorEastAsia"/>
                <w:b/>
                <w:bCs/>
                <w:kern w:val="0"/>
                <w:sz w:val="18"/>
                <w:szCs w:val="18"/>
              </w:rPr>
              <w:t>15.6</w:t>
            </w:r>
          </w:p>
        </w:tc>
        <w:tc>
          <w:tcPr>
            <w:tcW w:w="709" w:type="dxa"/>
            <w:shd w:val="clear" w:color="auto" w:fill="auto"/>
            <w:noWrap/>
          </w:tcPr>
          <w:p>
            <w:pPr>
              <w:widowControl/>
              <w:spacing w:line="240" w:lineRule="auto"/>
              <w:jc w:val="center"/>
              <w:rPr>
                <w:rFonts w:cs="宋体" w:asciiTheme="majorEastAsia" w:hAnsiTheme="majorEastAsia" w:eastAsiaTheme="majorEastAsia"/>
                <w:b/>
                <w:bCs/>
                <w:kern w:val="0"/>
                <w:sz w:val="18"/>
                <w:szCs w:val="18"/>
              </w:rPr>
            </w:pPr>
            <w:r>
              <w:rPr>
                <w:rFonts w:cs="宋体" w:asciiTheme="majorEastAsia" w:hAnsiTheme="majorEastAsia" w:eastAsiaTheme="majorEastAsia"/>
                <w:b/>
                <w:bCs/>
                <w:kern w:val="0"/>
                <w:sz w:val="18"/>
                <w:szCs w:val="18"/>
              </w:rPr>
              <w:t>15.6</w:t>
            </w:r>
          </w:p>
        </w:tc>
        <w:tc>
          <w:tcPr>
            <w:tcW w:w="992" w:type="dxa"/>
            <w:shd w:val="clear" w:color="auto" w:fill="auto"/>
            <w:noWrap/>
          </w:tcPr>
          <w:p>
            <w:pPr>
              <w:widowControl/>
              <w:spacing w:line="240" w:lineRule="auto"/>
              <w:jc w:val="center"/>
              <w:rPr>
                <w:rFonts w:cs="宋体" w:asciiTheme="majorEastAsia" w:hAnsiTheme="majorEastAsia" w:eastAsiaTheme="majorEastAsia"/>
                <w:b/>
                <w:bCs/>
                <w:kern w:val="0"/>
                <w:sz w:val="18"/>
                <w:szCs w:val="18"/>
              </w:rPr>
            </w:pPr>
            <w:r>
              <w:rPr>
                <w:rFonts w:cs="宋体" w:asciiTheme="majorEastAsia" w:hAnsiTheme="majorEastAsia" w:eastAsiaTheme="majorEastAsia"/>
                <w:b/>
                <w:bCs/>
                <w:kern w:val="0"/>
                <w:sz w:val="18"/>
                <w:szCs w:val="18"/>
              </w:rPr>
              <w:t>20.5</w:t>
            </w:r>
          </w:p>
        </w:tc>
        <w:tc>
          <w:tcPr>
            <w:tcW w:w="992" w:type="dxa"/>
            <w:shd w:val="clear" w:color="auto" w:fill="auto"/>
            <w:noWrap/>
          </w:tcPr>
          <w:p>
            <w:pPr>
              <w:widowControl/>
              <w:spacing w:line="240" w:lineRule="auto"/>
              <w:jc w:val="center"/>
              <w:rPr>
                <w:rFonts w:cs="宋体" w:asciiTheme="majorEastAsia" w:hAnsiTheme="majorEastAsia" w:eastAsiaTheme="majorEastAsia"/>
                <w:b/>
                <w:bCs/>
                <w:kern w:val="0"/>
                <w:sz w:val="18"/>
                <w:szCs w:val="18"/>
              </w:rPr>
            </w:pPr>
            <w:r>
              <w:rPr>
                <w:rFonts w:cs="宋体" w:asciiTheme="majorEastAsia" w:hAnsiTheme="majorEastAsia" w:eastAsiaTheme="majorEastAsia"/>
                <w:b/>
                <w:bCs/>
                <w:kern w:val="0"/>
                <w:sz w:val="18"/>
                <w:szCs w:val="18"/>
              </w:rPr>
              <w:t>17150</w:t>
            </w:r>
          </w:p>
        </w:tc>
        <w:tc>
          <w:tcPr>
            <w:tcW w:w="1134" w:type="dxa"/>
          </w:tcPr>
          <w:p>
            <w:pPr>
              <w:widowControl/>
              <w:spacing w:line="240" w:lineRule="auto"/>
              <w:jc w:val="center"/>
              <w:rPr>
                <w:rFonts w:cs="宋体" w:asciiTheme="majorEastAsia" w:hAnsiTheme="majorEastAsia" w:eastAsiaTheme="majorEastAsia"/>
                <w:b/>
                <w:bCs/>
                <w:kern w:val="0"/>
                <w:sz w:val="18"/>
                <w:szCs w:val="18"/>
              </w:rPr>
            </w:pPr>
            <w:r>
              <w:rPr>
                <w:rFonts w:cs="宋体" w:asciiTheme="majorEastAsia" w:hAnsiTheme="majorEastAsia" w:eastAsiaTheme="majorEastAsia"/>
                <w:b/>
                <w:bCs/>
                <w:kern w:val="0"/>
                <w:sz w:val="18"/>
                <w:szCs w:val="18"/>
              </w:rPr>
              <w:t>17150</w:t>
            </w:r>
          </w:p>
        </w:tc>
        <w:tc>
          <w:tcPr>
            <w:tcW w:w="851" w:type="dxa"/>
            <w:shd w:val="clear" w:color="auto" w:fill="auto"/>
            <w:noWrap/>
            <w:vAlign w:val="center"/>
          </w:tcPr>
          <w:p>
            <w:pPr>
              <w:widowControl/>
              <w:spacing w:line="240" w:lineRule="auto"/>
              <w:jc w:val="center"/>
              <w:rPr>
                <w:rFonts w:cs="宋体" w:asciiTheme="majorEastAsia" w:hAnsiTheme="majorEastAsia" w:eastAsiaTheme="majorEastAsia"/>
                <w:color w:val="000000"/>
                <w:kern w:val="0"/>
                <w:sz w:val="18"/>
                <w:szCs w:val="18"/>
              </w:rPr>
            </w:pPr>
            <w:r>
              <w:rPr>
                <w:rFonts w:hint="eastAsia" w:cs="宋体" w:asciiTheme="majorEastAsia" w:hAnsiTheme="majorEastAsia" w:eastAsiaTheme="majorEastAsia"/>
                <w:color w:val="000000"/>
                <w:kern w:val="0"/>
                <w:sz w:val="18"/>
                <w:szCs w:val="18"/>
              </w:rPr>
              <w:t>　</w:t>
            </w:r>
          </w:p>
        </w:tc>
        <w:tc>
          <w:tcPr>
            <w:tcW w:w="850" w:type="dxa"/>
            <w:shd w:val="clear" w:color="auto" w:fill="auto"/>
            <w:noWrap/>
            <w:vAlign w:val="center"/>
          </w:tcPr>
          <w:p>
            <w:pPr>
              <w:widowControl/>
              <w:spacing w:line="240" w:lineRule="auto"/>
              <w:jc w:val="center"/>
              <w:rPr>
                <w:rFonts w:cs="宋体" w:asciiTheme="majorEastAsia" w:hAnsiTheme="majorEastAsia" w:eastAsiaTheme="majorEastAsia"/>
                <w:color w:val="000000"/>
                <w:kern w:val="0"/>
                <w:sz w:val="18"/>
                <w:szCs w:val="18"/>
              </w:rPr>
            </w:pPr>
            <w:r>
              <w:rPr>
                <w:rFonts w:hint="eastAsia" w:cs="宋体" w:asciiTheme="majorEastAsia" w:hAnsiTheme="majorEastAsia" w:eastAsiaTheme="majorEastAsia"/>
                <w:color w:val="000000"/>
                <w:kern w:val="0"/>
                <w:sz w:val="18"/>
                <w:szCs w:val="18"/>
              </w:rPr>
              <w:t>　</w:t>
            </w:r>
          </w:p>
        </w:tc>
        <w:tc>
          <w:tcPr>
            <w:tcW w:w="2471" w:type="dxa"/>
            <w:shd w:val="clear" w:color="auto" w:fill="auto"/>
            <w:noWrap/>
            <w:vAlign w:val="center"/>
          </w:tcPr>
          <w:p>
            <w:pPr>
              <w:widowControl/>
              <w:spacing w:line="240" w:lineRule="auto"/>
              <w:jc w:val="center"/>
              <w:rPr>
                <w:rFonts w:cs="宋体" w:asciiTheme="majorEastAsia" w:hAnsiTheme="majorEastAsia" w:eastAsiaTheme="majorEastAsia"/>
                <w:color w:val="000000"/>
                <w:kern w:val="0"/>
                <w:sz w:val="18"/>
                <w:szCs w:val="18"/>
              </w:rPr>
            </w:pPr>
            <w:r>
              <w:rPr>
                <w:rFonts w:hint="eastAsia" w:cs="宋体" w:asciiTheme="majorEastAsia" w:hAnsiTheme="majorEastAsia" w:eastAsiaTheme="maj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2" w:hRule="atLeast"/>
          <w:jc w:val="center"/>
        </w:trPr>
        <w:tc>
          <w:tcPr>
            <w:tcW w:w="595"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w:t>
            </w:r>
          </w:p>
        </w:tc>
        <w:tc>
          <w:tcPr>
            <w:tcW w:w="1008"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六盘水市</w:t>
            </w:r>
          </w:p>
        </w:tc>
        <w:tc>
          <w:tcPr>
            <w:tcW w:w="993"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六枝特区</w:t>
            </w:r>
          </w:p>
        </w:tc>
        <w:tc>
          <w:tcPr>
            <w:tcW w:w="141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S215六枝至晴隆公路牂牁江大桥复建工程</w:t>
            </w:r>
          </w:p>
        </w:tc>
        <w:tc>
          <w:tcPr>
            <w:tcW w:w="1134"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六枝特区牂牁镇沈家村、晴隆县</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3.5</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3.5</w:t>
            </w:r>
          </w:p>
        </w:tc>
        <w:tc>
          <w:tcPr>
            <w:tcW w:w="99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7.5</w:t>
            </w:r>
          </w:p>
        </w:tc>
        <w:tc>
          <w:tcPr>
            <w:tcW w:w="99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12000</w:t>
            </w:r>
          </w:p>
        </w:tc>
        <w:tc>
          <w:tcPr>
            <w:tcW w:w="1134" w:type="dxa"/>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12000</w:t>
            </w:r>
          </w:p>
        </w:tc>
        <w:tc>
          <w:tcPr>
            <w:tcW w:w="85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2022</w:t>
            </w:r>
          </w:p>
        </w:tc>
        <w:tc>
          <w:tcPr>
            <w:tcW w:w="85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2024</w:t>
            </w:r>
          </w:p>
        </w:tc>
        <w:tc>
          <w:tcPr>
            <w:tcW w:w="2471"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关照库区蓄水后，原连接六枝特区与晴隆县的毛口吊桥被淹没，多年来两县群众往来都靠渡船运输，安全隐患大，出行成本高。为此，人大代表及政协委员多次呼吁恢复该桥梁。为保证当地群众与全国同步小康，拟修建牂牁江大桥。桥梁长约300米，连接线长约3.2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595"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w:t>
            </w:r>
          </w:p>
        </w:tc>
        <w:tc>
          <w:tcPr>
            <w:tcW w:w="1008"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六盘水市</w:t>
            </w: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盘州市</w:t>
            </w:r>
          </w:p>
        </w:tc>
        <w:tc>
          <w:tcPr>
            <w:tcW w:w="141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旧营至杨家屯</w:t>
            </w:r>
            <w:r>
              <w:rPr>
                <w:rFonts w:hint="eastAsia" w:ascii="宋体" w:hAnsi="宋体" w:cs="宋体"/>
                <w:color w:val="000000"/>
                <w:kern w:val="0"/>
                <w:sz w:val="18"/>
                <w:szCs w:val="18"/>
              </w:rPr>
              <w:t>公路</w:t>
            </w:r>
          </w:p>
        </w:tc>
        <w:tc>
          <w:tcPr>
            <w:tcW w:w="1134"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旧营白族彝族苗族乡坪田村委会、羊场布依族白族苗族乡高光村委会</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11</w:t>
            </w:r>
          </w:p>
        </w:tc>
        <w:tc>
          <w:tcPr>
            <w:tcW w:w="70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11</w:t>
            </w: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6.5</w:t>
            </w: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3850</w:t>
            </w:r>
          </w:p>
        </w:tc>
        <w:tc>
          <w:tcPr>
            <w:tcW w:w="1134" w:type="dxa"/>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3850</w:t>
            </w:r>
          </w:p>
        </w:tc>
        <w:tc>
          <w:tcPr>
            <w:tcW w:w="851"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2021</w:t>
            </w:r>
          </w:p>
        </w:tc>
        <w:tc>
          <w:tcPr>
            <w:tcW w:w="850"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2022</w:t>
            </w:r>
          </w:p>
        </w:tc>
        <w:tc>
          <w:tcPr>
            <w:tcW w:w="2471"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建成后旧营坪田村至羊场乡高光村减少里程25公里，满足未来十年通行需求。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595"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w:t>
            </w:r>
          </w:p>
        </w:tc>
        <w:tc>
          <w:tcPr>
            <w:tcW w:w="1008"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六盘水市</w:t>
            </w:r>
          </w:p>
        </w:tc>
        <w:tc>
          <w:tcPr>
            <w:tcW w:w="993"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六枝特区</w:t>
            </w:r>
          </w:p>
        </w:tc>
        <w:tc>
          <w:tcPr>
            <w:tcW w:w="141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中寨乡平基村至水黄公路联络线</w:t>
            </w:r>
          </w:p>
        </w:tc>
        <w:tc>
          <w:tcPr>
            <w:tcW w:w="1134"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平基村</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1.1</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1.1</w:t>
            </w:r>
          </w:p>
        </w:tc>
        <w:tc>
          <w:tcPr>
            <w:tcW w:w="99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6.5</w:t>
            </w:r>
          </w:p>
        </w:tc>
        <w:tc>
          <w:tcPr>
            <w:tcW w:w="992"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1300</w:t>
            </w:r>
          </w:p>
        </w:tc>
        <w:tc>
          <w:tcPr>
            <w:tcW w:w="1134" w:type="dxa"/>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1300</w:t>
            </w:r>
          </w:p>
        </w:tc>
        <w:tc>
          <w:tcPr>
            <w:tcW w:w="851"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2022</w:t>
            </w:r>
          </w:p>
        </w:tc>
        <w:tc>
          <w:tcPr>
            <w:tcW w:w="850"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2023</w:t>
            </w:r>
          </w:p>
        </w:tc>
        <w:tc>
          <w:tcPr>
            <w:tcW w:w="2471"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关照库区蓄水后，阿志河水位抬升，两岸群众往来绕行12公里，多年来群众生产生活都靠渡船运输，安全隐患大，出行成本高。为此，人大代表及政协委员多次呼吁恢复该联络线。</w:t>
            </w:r>
          </w:p>
        </w:tc>
      </w:tr>
    </w:tbl>
    <w:p>
      <w:pPr>
        <w:rPr>
          <w:rFonts w:asciiTheme="majorEastAsia" w:hAnsiTheme="majorEastAsia" w:eastAsiaTheme="majorEastAsia"/>
          <w:szCs w:val="28"/>
        </w:rPr>
        <w:sectPr>
          <w:pgSz w:w="16838" w:h="11906" w:orient="landscape"/>
          <w:pgMar w:top="1800" w:right="1440" w:bottom="1800" w:left="1440" w:header="851" w:footer="992" w:gutter="0"/>
          <w:cols w:space="425" w:num="1"/>
          <w:docGrid w:type="lines" w:linePitch="381" w:charSpace="0"/>
        </w:sectPr>
      </w:pPr>
    </w:p>
    <w:p>
      <w:pPr>
        <w:keepNext/>
        <w:keepLines/>
        <w:spacing w:after="100" w:afterAutospacing="1"/>
        <w:outlineLvl w:val="0"/>
        <w:rPr>
          <w:rFonts w:cs="宋体" w:asciiTheme="majorEastAsia" w:hAnsiTheme="majorEastAsia" w:eastAsiaTheme="majorEastAsia"/>
          <w:b/>
          <w:bCs/>
          <w:kern w:val="44"/>
          <w:sz w:val="32"/>
          <w:szCs w:val="44"/>
        </w:rPr>
      </w:pPr>
      <w:bookmarkStart w:id="1011" w:name="_Toc89102222"/>
      <w:r>
        <w:rPr>
          <w:rFonts w:hint="eastAsia" w:cs="宋体" w:asciiTheme="majorEastAsia" w:hAnsiTheme="majorEastAsia" w:eastAsiaTheme="majorEastAsia"/>
          <w:b/>
          <w:bCs/>
          <w:kern w:val="44"/>
          <w:sz w:val="32"/>
          <w:szCs w:val="44"/>
        </w:rPr>
        <w:t>附表</w:t>
      </w:r>
      <w:r>
        <w:rPr>
          <w:rFonts w:asciiTheme="majorEastAsia" w:hAnsiTheme="majorEastAsia" w:eastAsiaTheme="majorEastAsia"/>
          <w:b/>
          <w:bCs/>
          <w:kern w:val="44"/>
          <w:sz w:val="32"/>
          <w:szCs w:val="44"/>
        </w:rPr>
        <w:t xml:space="preserve">9 </w:t>
      </w:r>
      <w:r>
        <w:rPr>
          <w:rFonts w:hint="eastAsia" w:asciiTheme="majorEastAsia" w:hAnsiTheme="majorEastAsia" w:eastAsiaTheme="majorEastAsia"/>
          <w:b/>
          <w:bCs/>
          <w:kern w:val="44"/>
          <w:sz w:val="32"/>
          <w:szCs w:val="44"/>
        </w:rPr>
        <w:t xml:space="preserve"> </w:t>
      </w:r>
      <w:r>
        <w:rPr>
          <w:rFonts w:hint="eastAsia" w:cs="宋体" w:asciiTheme="majorEastAsia" w:hAnsiTheme="majorEastAsia" w:eastAsiaTheme="majorEastAsia"/>
          <w:b/>
          <w:bCs/>
          <w:kern w:val="44"/>
          <w:sz w:val="32"/>
          <w:szCs w:val="44"/>
        </w:rPr>
        <w:t>六盘水市</w:t>
      </w:r>
      <w:r>
        <w:rPr>
          <w:rFonts w:asciiTheme="majorEastAsia" w:hAnsiTheme="majorEastAsia" w:eastAsiaTheme="majorEastAsia"/>
          <w:b/>
          <w:bCs/>
          <w:kern w:val="44"/>
          <w:sz w:val="32"/>
          <w:szCs w:val="44"/>
        </w:rPr>
        <w:t>“</w:t>
      </w:r>
      <w:r>
        <w:rPr>
          <w:rFonts w:hint="eastAsia" w:cs="宋体" w:asciiTheme="majorEastAsia" w:hAnsiTheme="majorEastAsia" w:eastAsiaTheme="majorEastAsia"/>
          <w:b/>
          <w:bCs/>
          <w:kern w:val="44"/>
          <w:sz w:val="32"/>
          <w:szCs w:val="44"/>
        </w:rPr>
        <w:t>十四五</w:t>
      </w:r>
      <w:r>
        <w:rPr>
          <w:rFonts w:asciiTheme="majorEastAsia" w:hAnsiTheme="majorEastAsia" w:eastAsiaTheme="majorEastAsia"/>
          <w:b/>
          <w:bCs/>
          <w:kern w:val="44"/>
          <w:sz w:val="32"/>
          <w:szCs w:val="44"/>
        </w:rPr>
        <w:t>”</w:t>
      </w:r>
      <w:r>
        <w:rPr>
          <w:rFonts w:hint="eastAsia" w:cs="宋体" w:asciiTheme="majorEastAsia" w:hAnsiTheme="majorEastAsia" w:eastAsiaTheme="majorEastAsia"/>
          <w:b/>
          <w:bCs/>
          <w:kern w:val="44"/>
          <w:sz w:val="32"/>
          <w:szCs w:val="44"/>
        </w:rPr>
        <w:t>安防工程建设项目表</w:t>
      </w:r>
      <w:bookmarkEnd w:id="1011"/>
    </w:p>
    <w:tbl>
      <w:tblPr>
        <w:tblStyle w:val="19"/>
        <w:tblW w:w="116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275"/>
        <w:gridCol w:w="1276"/>
        <w:gridCol w:w="1134"/>
        <w:gridCol w:w="1843"/>
        <w:gridCol w:w="992"/>
        <w:gridCol w:w="918"/>
        <w:gridCol w:w="1080"/>
        <w:gridCol w:w="1076"/>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88" w:type="dxa"/>
            <w:vMerge w:val="restart"/>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序号</w:t>
            </w:r>
          </w:p>
        </w:tc>
        <w:tc>
          <w:tcPr>
            <w:tcW w:w="1275" w:type="dxa"/>
            <w:vMerge w:val="restart"/>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项目所在地</w:t>
            </w:r>
          </w:p>
        </w:tc>
        <w:tc>
          <w:tcPr>
            <w:tcW w:w="1276" w:type="dxa"/>
            <w:vMerge w:val="restart"/>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项目名称</w:t>
            </w:r>
          </w:p>
        </w:tc>
        <w:tc>
          <w:tcPr>
            <w:tcW w:w="1134" w:type="dxa"/>
            <w:vMerge w:val="restart"/>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建设性质</w:t>
            </w:r>
          </w:p>
        </w:tc>
        <w:tc>
          <w:tcPr>
            <w:tcW w:w="1843" w:type="dxa"/>
            <w:vMerge w:val="restart"/>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里程（公里）/座</w:t>
            </w:r>
          </w:p>
        </w:tc>
        <w:tc>
          <w:tcPr>
            <w:tcW w:w="1910" w:type="dxa"/>
            <w:gridSpan w:val="2"/>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建设年限</w:t>
            </w:r>
          </w:p>
        </w:tc>
        <w:tc>
          <w:tcPr>
            <w:tcW w:w="2156" w:type="dxa"/>
            <w:gridSpan w:val="2"/>
            <w:shd w:val="clear" w:color="000000" w:fill="FFFFFF"/>
            <w:vAlign w:val="center"/>
          </w:tcPr>
          <w:p>
            <w:pPr>
              <w:widowControl/>
              <w:spacing w:line="240" w:lineRule="auto"/>
              <w:jc w:val="center"/>
              <w:rPr>
                <w:rFonts w:asciiTheme="majorEastAsia" w:hAnsiTheme="majorEastAsia" w:eastAsiaTheme="majorEastAsia"/>
                <w:b/>
                <w:bCs/>
                <w:color w:val="000000"/>
                <w:kern w:val="0"/>
                <w:sz w:val="18"/>
                <w:szCs w:val="18"/>
              </w:rPr>
            </w:pPr>
            <w:r>
              <w:rPr>
                <w:rFonts w:asciiTheme="majorEastAsia" w:hAnsiTheme="majorEastAsia" w:eastAsiaTheme="majorEastAsia"/>
                <w:b/>
                <w:bCs/>
                <w:color w:val="000000"/>
                <w:kern w:val="0"/>
                <w:sz w:val="18"/>
                <w:szCs w:val="18"/>
              </w:rPr>
              <w:t>“</w:t>
            </w:r>
            <w:r>
              <w:rPr>
                <w:rFonts w:hint="eastAsia" w:asciiTheme="majorEastAsia" w:hAnsiTheme="majorEastAsia" w:eastAsiaTheme="majorEastAsia"/>
                <w:b/>
                <w:bCs/>
                <w:color w:val="000000"/>
                <w:kern w:val="0"/>
                <w:sz w:val="18"/>
                <w:szCs w:val="18"/>
              </w:rPr>
              <w:t>十四五</w:t>
            </w:r>
            <w:r>
              <w:rPr>
                <w:rFonts w:asciiTheme="majorEastAsia" w:hAnsiTheme="majorEastAsia" w:eastAsiaTheme="majorEastAsia"/>
                <w:b/>
                <w:bCs/>
                <w:color w:val="000000"/>
                <w:kern w:val="0"/>
                <w:sz w:val="18"/>
                <w:szCs w:val="18"/>
              </w:rPr>
              <w:t>”</w:t>
            </w:r>
          </w:p>
          <w:p>
            <w:pPr>
              <w:widowControl/>
              <w:spacing w:line="240" w:lineRule="auto"/>
              <w:jc w:val="center"/>
              <w:rPr>
                <w:rFonts w:asciiTheme="majorEastAsia" w:hAnsiTheme="majorEastAsia" w:eastAsiaTheme="majorEastAsia"/>
                <w:b/>
                <w:bCs/>
                <w:color w:val="000000"/>
                <w:kern w:val="0"/>
                <w:sz w:val="18"/>
                <w:szCs w:val="18"/>
              </w:rPr>
            </w:pPr>
            <w:r>
              <w:rPr>
                <w:rFonts w:hint="eastAsia" w:asciiTheme="majorEastAsia" w:hAnsiTheme="majorEastAsia" w:eastAsiaTheme="majorEastAsia"/>
                <w:b/>
                <w:bCs/>
                <w:color w:val="000000"/>
                <w:kern w:val="0"/>
                <w:sz w:val="18"/>
                <w:szCs w:val="18"/>
              </w:rPr>
              <w:t>计划投资</w:t>
            </w:r>
            <w:r>
              <w:rPr>
                <w:rFonts w:asciiTheme="majorEastAsia" w:hAnsiTheme="majorEastAsia" w:eastAsiaTheme="majorEastAsia"/>
                <w:b/>
                <w:bCs/>
                <w:color w:val="000000"/>
                <w:kern w:val="0"/>
                <w:sz w:val="18"/>
                <w:szCs w:val="18"/>
              </w:rPr>
              <w:t>(</w:t>
            </w:r>
            <w:r>
              <w:rPr>
                <w:rFonts w:hint="eastAsia" w:asciiTheme="majorEastAsia" w:hAnsiTheme="majorEastAsia" w:eastAsiaTheme="majorEastAsia"/>
                <w:b/>
                <w:bCs/>
                <w:color w:val="000000"/>
                <w:kern w:val="0"/>
                <w:sz w:val="18"/>
                <w:szCs w:val="18"/>
              </w:rPr>
              <w:t>万元</w:t>
            </w:r>
            <w:r>
              <w:rPr>
                <w:rFonts w:asciiTheme="majorEastAsia" w:hAnsiTheme="majorEastAsia" w:eastAsiaTheme="majorEastAsia"/>
                <w:b/>
                <w:bCs/>
                <w:color w:val="000000"/>
                <w:kern w:val="0"/>
                <w:sz w:val="18"/>
                <w:szCs w:val="18"/>
              </w:rPr>
              <w:t>)</w:t>
            </w:r>
          </w:p>
        </w:tc>
        <w:tc>
          <w:tcPr>
            <w:tcW w:w="1074" w:type="dxa"/>
            <w:vMerge w:val="restart"/>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988" w:type="dxa"/>
            <w:vMerge w:val="continue"/>
            <w:vAlign w:val="center"/>
          </w:tcPr>
          <w:p>
            <w:pPr>
              <w:widowControl/>
              <w:spacing w:line="240" w:lineRule="auto"/>
              <w:jc w:val="left"/>
              <w:rPr>
                <w:rFonts w:cs="宋体" w:asciiTheme="majorEastAsia" w:hAnsiTheme="majorEastAsia" w:eastAsiaTheme="majorEastAsia"/>
                <w:b/>
                <w:bCs/>
                <w:kern w:val="0"/>
                <w:sz w:val="18"/>
                <w:szCs w:val="18"/>
              </w:rPr>
            </w:pPr>
          </w:p>
        </w:tc>
        <w:tc>
          <w:tcPr>
            <w:tcW w:w="1275" w:type="dxa"/>
            <w:vMerge w:val="continue"/>
            <w:vAlign w:val="center"/>
          </w:tcPr>
          <w:p>
            <w:pPr>
              <w:widowControl/>
              <w:spacing w:line="240" w:lineRule="auto"/>
              <w:jc w:val="left"/>
              <w:rPr>
                <w:rFonts w:cs="宋体" w:asciiTheme="majorEastAsia" w:hAnsiTheme="majorEastAsia" w:eastAsiaTheme="majorEastAsia"/>
                <w:b/>
                <w:bCs/>
                <w:kern w:val="0"/>
                <w:sz w:val="18"/>
                <w:szCs w:val="18"/>
              </w:rPr>
            </w:pPr>
          </w:p>
        </w:tc>
        <w:tc>
          <w:tcPr>
            <w:tcW w:w="1276" w:type="dxa"/>
            <w:vMerge w:val="continue"/>
            <w:vAlign w:val="center"/>
          </w:tcPr>
          <w:p>
            <w:pPr>
              <w:widowControl/>
              <w:spacing w:line="240" w:lineRule="auto"/>
              <w:jc w:val="left"/>
              <w:rPr>
                <w:rFonts w:cs="宋体" w:asciiTheme="majorEastAsia" w:hAnsiTheme="majorEastAsia" w:eastAsiaTheme="majorEastAsia"/>
                <w:b/>
                <w:bCs/>
                <w:kern w:val="0"/>
                <w:sz w:val="18"/>
                <w:szCs w:val="18"/>
              </w:rPr>
            </w:pPr>
          </w:p>
        </w:tc>
        <w:tc>
          <w:tcPr>
            <w:tcW w:w="1134" w:type="dxa"/>
            <w:vMerge w:val="continue"/>
            <w:vAlign w:val="center"/>
          </w:tcPr>
          <w:p>
            <w:pPr>
              <w:widowControl/>
              <w:spacing w:line="240" w:lineRule="auto"/>
              <w:jc w:val="left"/>
              <w:rPr>
                <w:rFonts w:cs="宋体" w:asciiTheme="majorEastAsia" w:hAnsiTheme="majorEastAsia" w:eastAsiaTheme="majorEastAsia"/>
                <w:b/>
                <w:bCs/>
                <w:kern w:val="0"/>
                <w:sz w:val="18"/>
                <w:szCs w:val="18"/>
              </w:rPr>
            </w:pPr>
          </w:p>
        </w:tc>
        <w:tc>
          <w:tcPr>
            <w:tcW w:w="1843" w:type="dxa"/>
            <w:vMerge w:val="continue"/>
            <w:vAlign w:val="center"/>
          </w:tcPr>
          <w:p>
            <w:pPr>
              <w:widowControl/>
              <w:spacing w:line="240" w:lineRule="auto"/>
              <w:jc w:val="left"/>
              <w:rPr>
                <w:rFonts w:cs="宋体" w:asciiTheme="majorEastAsia" w:hAnsiTheme="majorEastAsia" w:eastAsiaTheme="majorEastAsia"/>
                <w:b/>
                <w:bCs/>
                <w:kern w:val="0"/>
                <w:sz w:val="18"/>
                <w:szCs w:val="18"/>
              </w:rPr>
            </w:pPr>
          </w:p>
        </w:tc>
        <w:tc>
          <w:tcPr>
            <w:tcW w:w="992" w:type="dxa"/>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开工年</w:t>
            </w:r>
          </w:p>
        </w:tc>
        <w:tc>
          <w:tcPr>
            <w:tcW w:w="918" w:type="dxa"/>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完工年</w:t>
            </w:r>
          </w:p>
        </w:tc>
        <w:tc>
          <w:tcPr>
            <w:tcW w:w="1080" w:type="dxa"/>
            <w:shd w:val="clear" w:color="000000" w:fill="FFFFFF"/>
            <w:noWrap/>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总投资</w:t>
            </w:r>
          </w:p>
        </w:tc>
        <w:tc>
          <w:tcPr>
            <w:tcW w:w="1076" w:type="dxa"/>
            <w:shd w:val="clear" w:color="000000" w:fill="FFFFFF"/>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补助</w:t>
            </w:r>
          </w:p>
        </w:tc>
        <w:tc>
          <w:tcPr>
            <w:tcW w:w="1074" w:type="dxa"/>
            <w:vMerge w:val="continue"/>
            <w:vAlign w:val="center"/>
          </w:tcPr>
          <w:p>
            <w:pPr>
              <w:widowControl/>
              <w:spacing w:line="240" w:lineRule="auto"/>
              <w:jc w:val="left"/>
              <w:rPr>
                <w:rFonts w:cs="宋体" w:asciiTheme="majorEastAsia" w:hAnsiTheme="majorEastAsia" w:eastAsiaTheme="majorEastAsia"/>
                <w:b/>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88"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一</w:t>
            </w:r>
          </w:p>
        </w:tc>
        <w:tc>
          <w:tcPr>
            <w:tcW w:w="127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　</w:t>
            </w:r>
          </w:p>
        </w:tc>
        <w:tc>
          <w:tcPr>
            <w:tcW w:w="1276" w:type="dxa"/>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安防工程</w:t>
            </w:r>
          </w:p>
        </w:tc>
        <w:tc>
          <w:tcPr>
            <w:tcW w:w="1134"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新建</w:t>
            </w:r>
          </w:p>
        </w:tc>
        <w:tc>
          <w:tcPr>
            <w:tcW w:w="1843" w:type="dxa"/>
            <w:shd w:val="clear" w:color="auto" w:fill="auto"/>
            <w:vAlign w:val="center"/>
          </w:tcPr>
          <w:p>
            <w:pPr>
              <w:widowControl/>
              <w:spacing w:line="240" w:lineRule="auto"/>
              <w:jc w:val="center"/>
              <w:rPr>
                <w:rFonts w:asciiTheme="majorEastAsia" w:hAnsiTheme="majorEastAsia" w:eastAsiaTheme="majorEastAsia"/>
                <w:b/>
                <w:bCs/>
                <w:kern w:val="0"/>
                <w:sz w:val="18"/>
                <w:szCs w:val="18"/>
              </w:rPr>
            </w:pPr>
            <w:r>
              <w:rPr>
                <w:rFonts w:asciiTheme="majorEastAsia" w:hAnsiTheme="majorEastAsia" w:eastAsiaTheme="majorEastAsia"/>
                <w:b/>
                <w:bCs/>
                <w:kern w:val="0"/>
                <w:sz w:val="18"/>
                <w:szCs w:val="18"/>
              </w:rPr>
              <w:t>2000</w:t>
            </w:r>
          </w:p>
        </w:tc>
        <w:tc>
          <w:tcPr>
            <w:tcW w:w="992" w:type="dxa"/>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2021</w:t>
            </w:r>
          </w:p>
        </w:tc>
        <w:tc>
          <w:tcPr>
            <w:tcW w:w="918" w:type="dxa"/>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2025</w:t>
            </w:r>
          </w:p>
        </w:tc>
        <w:tc>
          <w:tcPr>
            <w:tcW w:w="1080" w:type="dxa"/>
            <w:shd w:val="clear" w:color="auto" w:fill="auto"/>
            <w:vAlign w:val="center"/>
          </w:tcPr>
          <w:p>
            <w:pPr>
              <w:widowControl/>
              <w:spacing w:line="240" w:lineRule="auto"/>
              <w:jc w:val="center"/>
              <w:rPr>
                <w:rFonts w:asciiTheme="majorEastAsia" w:hAnsiTheme="majorEastAsia" w:eastAsiaTheme="majorEastAsia"/>
                <w:b/>
                <w:bCs/>
                <w:kern w:val="0"/>
                <w:sz w:val="18"/>
                <w:szCs w:val="18"/>
              </w:rPr>
            </w:pPr>
            <w:r>
              <w:rPr>
                <w:rFonts w:asciiTheme="majorEastAsia" w:hAnsiTheme="majorEastAsia" w:eastAsiaTheme="majorEastAsia"/>
                <w:b/>
                <w:bCs/>
                <w:kern w:val="0"/>
                <w:sz w:val="18"/>
                <w:szCs w:val="18"/>
              </w:rPr>
              <w:t>30000</w:t>
            </w:r>
          </w:p>
        </w:tc>
        <w:tc>
          <w:tcPr>
            <w:tcW w:w="1076" w:type="dxa"/>
            <w:shd w:val="clear" w:color="auto" w:fill="auto"/>
            <w:vAlign w:val="center"/>
          </w:tcPr>
          <w:p>
            <w:pPr>
              <w:widowControl/>
              <w:spacing w:line="240" w:lineRule="auto"/>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　</w:t>
            </w:r>
          </w:p>
        </w:tc>
        <w:tc>
          <w:tcPr>
            <w:tcW w:w="1074" w:type="dxa"/>
            <w:shd w:val="clear" w:color="auto" w:fill="auto"/>
            <w:vAlign w:val="center"/>
          </w:tcPr>
          <w:p>
            <w:pPr>
              <w:widowControl/>
              <w:spacing w:line="240" w:lineRule="auto"/>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88"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二</w:t>
            </w:r>
          </w:p>
        </w:tc>
        <w:tc>
          <w:tcPr>
            <w:tcW w:w="1275"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　</w:t>
            </w:r>
          </w:p>
        </w:tc>
        <w:tc>
          <w:tcPr>
            <w:tcW w:w="1276" w:type="dxa"/>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危桥改造</w:t>
            </w:r>
          </w:p>
        </w:tc>
        <w:tc>
          <w:tcPr>
            <w:tcW w:w="1134"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　</w:t>
            </w:r>
          </w:p>
        </w:tc>
        <w:tc>
          <w:tcPr>
            <w:tcW w:w="1843" w:type="dxa"/>
            <w:shd w:val="clear" w:color="auto" w:fill="auto"/>
            <w:vAlign w:val="center"/>
          </w:tcPr>
          <w:p>
            <w:pPr>
              <w:widowControl/>
              <w:spacing w:line="240" w:lineRule="auto"/>
              <w:jc w:val="center"/>
              <w:rPr>
                <w:rFonts w:asciiTheme="majorEastAsia" w:hAnsiTheme="majorEastAsia" w:eastAsiaTheme="majorEastAsia"/>
                <w:b/>
                <w:bCs/>
                <w:kern w:val="0"/>
                <w:sz w:val="18"/>
                <w:szCs w:val="18"/>
              </w:rPr>
            </w:pPr>
            <w:r>
              <w:rPr>
                <w:rFonts w:asciiTheme="majorEastAsia" w:hAnsiTheme="majorEastAsia" w:eastAsiaTheme="majorEastAsia"/>
                <w:b/>
                <w:bCs/>
                <w:kern w:val="0"/>
                <w:sz w:val="18"/>
                <w:szCs w:val="18"/>
              </w:rPr>
              <w:t>18</w:t>
            </w:r>
          </w:p>
        </w:tc>
        <w:tc>
          <w:tcPr>
            <w:tcW w:w="992" w:type="dxa"/>
            <w:shd w:val="clear" w:color="auto" w:fill="auto"/>
            <w:vAlign w:val="center"/>
          </w:tcPr>
          <w:p>
            <w:pPr>
              <w:widowControl/>
              <w:spacing w:line="240" w:lineRule="auto"/>
              <w:jc w:val="center"/>
              <w:rPr>
                <w:rFonts w:asciiTheme="majorEastAsia" w:hAnsiTheme="majorEastAsia" w:eastAsiaTheme="majorEastAsia"/>
                <w:b/>
                <w:bCs/>
                <w:kern w:val="0"/>
                <w:sz w:val="18"/>
                <w:szCs w:val="18"/>
              </w:rPr>
            </w:pPr>
            <w:r>
              <w:rPr>
                <w:rFonts w:hint="eastAsia" w:asciiTheme="majorEastAsia" w:hAnsiTheme="majorEastAsia" w:eastAsiaTheme="majorEastAsia"/>
                <w:b/>
                <w:bCs/>
                <w:kern w:val="0"/>
                <w:sz w:val="18"/>
                <w:szCs w:val="18"/>
              </w:rPr>
              <w:t>2</w:t>
            </w:r>
            <w:r>
              <w:rPr>
                <w:rFonts w:asciiTheme="majorEastAsia" w:hAnsiTheme="majorEastAsia" w:eastAsiaTheme="majorEastAsia"/>
                <w:b/>
                <w:bCs/>
                <w:kern w:val="0"/>
                <w:sz w:val="18"/>
                <w:szCs w:val="18"/>
              </w:rPr>
              <w:t>021　</w:t>
            </w:r>
          </w:p>
        </w:tc>
        <w:tc>
          <w:tcPr>
            <w:tcW w:w="918" w:type="dxa"/>
            <w:shd w:val="clear" w:color="auto" w:fill="auto"/>
            <w:vAlign w:val="center"/>
          </w:tcPr>
          <w:p>
            <w:pPr>
              <w:widowControl/>
              <w:spacing w:line="240" w:lineRule="auto"/>
              <w:jc w:val="center"/>
              <w:rPr>
                <w:rFonts w:asciiTheme="majorEastAsia" w:hAnsiTheme="majorEastAsia" w:eastAsiaTheme="majorEastAsia"/>
                <w:b/>
                <w:bCs/>
                <w:kern w:val="0"/>
                <w:sz w:val="18"/>
                <w:szCs w:val="18"/>
              </w:rPr>
            </w:pPr>
            <w:r>
              <w:rPr>
                <w:rFonts w:hint="eastAsia" w:asciiTheme="majorEastAsia" w:hAnsiTheme="majorEastAsia" w:eastAsiaTheme="majorEastAsia"/>
                <w:b/>
                <w:bCs/>
                <w:kern w:val="0"/>
                <w:sz w:val="18"/>
                <w:szCs w:val="18"/>
              </w:rPr>
              <w:t>2</w:t>
            </w:r>
            <w:r>
              <w:rPr>
                <w:rFonts w:asciiTheme="majorEastAsia" w:hAnsiTheme="majorEastAsia" w:eastAsiaTheme="majorEastAsia"/>
                <w:b/>
                <w:bCs/>
                <w:kern w:val="0"/>
                <w:sz w:val="18"/>
                <w:szCs w:val="18"/>
              </w:rPr>
              <w:t>025　</w:t>
            </w:r>
          </w:p>
        </w:tc>
        <w:tc>
          <w:tcPr>
            <w:tcW w:w="1080" w:type="dxa"/>
            <w:shd w:val="clear" w:color="auto" w:fill="auto"/>
            <w:vAlign w:val="center"/>
          </w:tcPr>
          <w:p>
            <w:pPr>
              <w:widowControl/>
              <w:spacing w:line="240" w:lineRule="auto"/>
              <w:jc w:val="center"/>
              <w:rPr>
                <w:rFonts w:asciiTheme="majorEastAsia" w:hAnsiTheme="majorEastAsia" w:eastAsiaTheme="majorEastAsia"/>
                <w:b/>
                <w:bCs/>
                <w:kern w:val="0"/>
                <w:sz w:val="18"/>
                <w:szCs w:val="18"/>
              </w:rPr>
            </w:pPr>
            <w:r>
              <w:rPr>
                <w:rFonts w:hint="eastAsia" w:asciiTheme="majorEastAsia" w:hAnsiTheme="majorEastAsia" w:eastAsiaTheme="majorEastAsia"/>
                <w:b/>
                <w:bCs/>
                <w:kern w:val="0"/>
                <w:sz w:val="18"/>
                <w:szCs w:val="18"/>
              </w:rPr>
              <w:t>20000</w:t>
            </w:r>
            <w:r>
              <w:rPr>
                <w:rFonts w:asciiTheme="majorEastAsia" w:hAnsiTheme="majorEastAsia" w:eastAsiaTheme="majorEastAsia"/>
                <w:b/>
                <w:bCs/>
                <w:kern w:val="0"/>
                <w:sz w:val="18"/>
                <w:szCs w:val="18"/>
              </w:rPr>
              <w:t>　</w:t>
            </w:r>
          </w:p>
        </w:tc>
        <w:tc>
          <w:tcPr>
            <w:tcW w:w="1076" w:type="dxa"/>
            <w:shd w:val="clear" w:color="auto" w:fill="auto"/>
            <w:vAlign w:val="center"/>
          </w:tcPr>
          <w:p>
            <w:pPr>
              <w:widowControl/>
              <w:spacing w:line="240" w:lineRule="auto"/>
              <w:jc w:val="center"/>
              <w:rPr>
                <w:rFonts w:asciiTheme="majorEastAsia" w:hAnsiTheme="majorEastAsia" w:eastAsiaTheme="majorEastAsia"/>
                <w:b/>
                <w:bCs/>
                <w:kern w:val="0"/>
                <w:sz w:val="18"/>
                <w:szCs w:val="18"/>
              </w:rPr>
            </w:pPr>
            <w:r>
              <w:rPr>
                <w:rFonts w:hint="eastAsia" w:asciiTheme="majorEastAsia" w:hAnsiTheme="majorEastAsia" w:eastAsiaTheme="majorEastAsia"/>
                <w:b/>
                <w:bCs/>
                <w:kern w:val="0"/>
                <w:sz w:val="18"/>
                <w:szCs w:val="18"/>
              </w:rPr>
              <w:t>1559</w:t>
            </w:r>
            <w:r>
              <w:rPr>
                <w:rFonts w:asciiTheme="majorEastAsia" w:hAnsiTheme="majorEastAsia" w:eastAsiaTheme="majorEastAsia"/>
                <w:b/>
                <w:bCs/>
                <w:kern w:val="0"/>
                <w:sz w:val="18"/>
                <w:szCs w:val="18"/>
              </w:rPr>
              <w:t>　</w:t>
            </w:r>
          </w:p>
        </w:tc>
        <w:tc>
          <w:tcPr>
            <w:tcW w:w="1074" w:type="dxa"/>
            <w:shd w:val="clear" w:color="auto" w:fill="auto"/>
            <w:vAlign w:val="center"/>
          </w:tcPr>
          <w:p>
            <w:pPr>
              <w:widowControl/>
              <w:spacing w:line="240" w:lineRule="auto"/>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　</w:t>
            </w:r>
          </w:p>
        </w:tc>
      </w:tr>
    </w:tbl>
    <w:p>
      <w:pPr>
        <w:sectPr>
          <w:pgSz w:w="16838" w:h="11906" w:orient="landscape"/>
          <w:pgMar w:top="1800" w:right="1440" w:bottom="1800" w:left="1440" w:header="851" w:footer="992" w:gutter="0"/>
          <w:cols w:space="425" w:num="1"/>
          <w:docGrid w:type="lines" w:linePitch="381" w:charSpace="0"/>
        </w:sectPr>
      </w:pPr>
    </w:p>
    <w:p>
      <w:pPr>
        <w:keepNext/>
        <w:keepLines/>
        <w:spacing w:after="100" w:afterAutospacing="1"/>
        <w:outlineLvl w:val="0"/>
        <w:rPr>
          <w:rFonts w:asciiTheme="majorEastAsia" w:hAnsiTheme="majorEastAsia" w:eastAsiaTheme="majorEastAsia"/>
          <w:szCs w:val="28"/>
        </w:rPr>
      </w:pPr>
      <w:bookmarkStart w:id="1012" w:name="_Toc89102223"/>
      <w:r>
        <w:rPr>
          <w:rFonts w:hint="eastAsia" w:cs="宋体" w:asciiTheme="majorEastAsia" w:hAnsiTheme="majorEastAsia" w:eastAsiaTheme="majorEastAsia"/>
          <w:b/>
          <w:bCs/>
          <w:kern w:val="44"/>
          <w:sz w:val="32"/>
          <w:szCs w:val="44"/>
        </w:rPr>
        <w:t>附表</w:t>
      </w:r>
      <w:r>
        <w:rPr>
          <w:rFonts w:asciiTheme="majorEastAsia" w:hAnsiTheme="majorEastAsia" w:eastAsiaTheme="majorEastAsia"/>
          <w:b/>
          <w:bCs/>
          <w:kern w:val="44"/>
          <w:sz w:val="32"/>
          <w:szCs w:val="44"/>
        </w:rPr>
        <w:t xml:space="preserve">10 </w:t>
      </w:r>
      <w:r>
        <w:rPr>
          <w:rFonts w:hint="eastAsia" w:asciiTheme="majorEastAsia" w:hAnsiTheme="majorEastAsia" w:eastAsiaTheme="majorEastAsia"/>
          <w:b/>
          <w:bCs/>
          <w:kern w:val="44"/>
          <w:sz w:val="32"/>
          <w:szCs w:val="44"/>
        </w:rPr>
        <w:t xml:space="preserve"> </w:t>
      </w:r>
      <w:r>
        <w:rPr>
          <w:rFonts w:hint="eastAsia" w:cs="宋体" w:asciiTheme="majorEastAsia" w:hAnsiTheme="majorEastAsia" w:eastAsiaTheme="majorEastAsia"/>
          <w:b/>
          <w:bCs/>
          <w:kern w:val="44"/>
          <w:sz w:val="32"/>
          <w:szCs w:val="44"/>
        </w:rPr>
        <w:t>六盘水市</w:t>
      </w:r>
      <w:r>
        <w:rPr>
          <w:rFonts w:asciiTheme="majorEastAsia" w:hAnsiTheme="majorEastAsia" w:eastAsiaTheme="majorEastAsia"/>
          <w:b/>
          <w:bCs/>
          <w:kern w:val="44"/>
          <w:sz w:val="32"/>
          <w:szCs w:val="44"/>
        </w:rPr>
        <w:t>“</w:t>
      </w:r>
      <w:r>
        <w:rPr>
          <w:rFonts w:hint="eastAsia" w:cs="宋体" w:asciiTheme="majorEastAsia" w:hAnsiTheme="majorEastAsia" w:eastAsiaTheme="majorEastAsia"/>
          <w:b/>
          <w:bCs/>
          <w:kern w:val="44"/>
          <w:sz w:val="32"/>
          <w:szCs w:val="44"/>
        </w:rPr>
        <w:t>十四五</w:t>
      </w:r>
      <w:r>
        <w:rPr>
          <w:rFonts w:asciiTheme="majorEastAsia" w:hAnsiTheme="majorEastAsia" w:eastAsiaTheme="majorEastAsia"/>
          <w:b/>
          <w:bCs/>
          <w:kern w:val="44"/>
          <w:sz w:val="32"/>
          <w:szCs w:val="44"/>
        </w:rPr>
        <w:t>”</w:t>
      </w:r>
      <w:r>
        <w:rPr>
          <w:rFonts w:hint="eastAsia" w:cs="宋体" w:asciiTheme="majorEastAsia" w:hAnsiTheme="majorEastAsia" w:eastAsiaTheme="majorEastAsia"/>
          <w:b/>
          <w:bCs/>
          <w:kern w:val="44"/>
          <w:sz w:val="32"/>
          <w:szCs w:val="44"/>
        </w:rPr>
        <w:t>物流中心建设项目表</w:t>
      </w:r>
      <w:bookmarkEnd w:id="1012"/>
    </w:p>
    <w:tbl>
      <w:tblPr>
        <w:tblStyle w:val="19"/>
        <w:tblW w:w="13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947"/>
        <w:gridCol w:w="2378"/>
        <w:gridCol w:w="1559"/>
        <w:gridCol w:w="709"/>
        <w:gridCol w:w="709"/>
        <w:gridCol w:w="992"/>
        <w:gridCol w:w="851"/>
        <w:gridCol w:w="708"/>
        <w:gridCol w:w="3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781" w:type="dxa"/>
            <w:vMerge w:val="restart"/>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序号</w:t>
            </w:r>
          </w:p>
        </w:tc>
        <w:tc>
          <w:tcPr>
            <w:tcW w:w="947" w:type="dxa"/>
            <w:vMerge w:val="restart"/>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项目所在地</w:t>
            </w:r>
          </w:p>
        </w:tc>
        <w:tc>
          <w:tcPr>
            <w:tcW w:w="2378" w:type="dxa"/>
            <w:vMerge w:val="restart"/>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项目名称</w:t>
            </w:r>
          </w:p>
        </w:tc>
        <w:tc>
          <w:tcPr>
            <w:tcW w:w="1559" w:type="dxa"/>
            <w:vMerge w:val="restart"/>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建设性质</w:t>
            </w:r>
          </w:p>
        </w:tc>
        <w:tc>
          <w:tcPr>
            <w:tcW w:w="1418" w:type="dxa"/>
            <w:gridSpan w:val="2"/>
            <w:vMerge w:val="restart"/>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建设起止年限</w:t>
            </w:r>
          </w:p>
        </w:tc>
        <w:tc>
          <w:tcPr>
            <w:tcW w:w="992" w:type="dxa"/>
            <w:vMerge w:val="restart"/>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总投资</w:t>
            </w:r>
          </w:p>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（万元）</w:t>
            </w:r>
          </w:p>
        </w:tc>
        <w:tc>
          <w:tcPr>
            <w:tcW w:w="1559" w:type="dxa"/>
            <w:gridSpan w:val="2"/>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“十四五”</w:t>
            </w:r>
          </w:p>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计划投资(万元)</w:t>
            </w:r>
          </w:p>
        </w:tc>
        <w:tc>
          <w:tcPr>
            <w:tcW w:w="3828" w:type="dxa"/>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1" w:type="dxa"/>
            <w:vMerge w:val="continue"/>
            <w:vAlign w:val="center"/>
          </w:tcPr>
          <w:p>
            <w:pPr>
              <w:widowControl/>
              <w:spacing w:line="240" w:lineRule="auto"/>
              <w:jc w:val="center"/>
              <w:rPr>
                <w:rFonts w:cs="宋体" w:asciiTheme="majorEastAsia" w:hAnsiTheme="majorEastAsia" w:eastAsiaTheme="majorEastAsia"/>
                <w:b/>
                <w:bCs/>
                <w:kern w:val="0"/>
                <w:sz w:val="18"/>
                <w:szCs w:val="18"/>
              </w:rPr>
            </w:pPr>
          </w:p>
        </w:tc>
        <w:tc>
          <w:tcPr>
            <w:tcW w:w="947" w:type="dxa"/>
            <w:vMerge w:val="continue"/>
            <w:vAlign w:val="center"/>
          </w:tcPr>
          <w:p>
            <w:pPr>
              <w:widowControl/>
              <w:spacing w:line="240" w:lineRule="auto"/>
              <w:jc w:val="center"/>
              <w:rPr>
                <w:rFonts w:cs="宋体" w:asciiTheme="majorEastAsia" w:hAnsiTheme="majorEastAsia" w:eastAsiaTheme="majorEastAsia"/>
                <w:b/>
                <w:bCs/>
                <w:kern w:val="0"/>
                <w:sz w:val="18"/>
                <w:szCs w:val="18"/>
              </w:rPr>
            </w:pPr>
          </w:p>
        </w:tc>
        <w:tc>
          <w:tcPr>
            <w:tcW w:w="2378" w:type="dxa"/>
            <w:vMerge w:val="continue"/>
            <w:vAlign w:val="center"/>
          </w:tcPr>
          <w:p>
            <w:pPr>
              <w:widowControl/>
              <w:spacing w:line="240" w:lineRule="auto"/>
              <w:jc w:val="center"/>
              <w:rPr>
                <w:rFonts w:cs="宋体" w:asciiTheme="majorEastAsia" w:hAnsiTheme="majorEastAsia" w:eastAsiaTheme="majorEastAsia"/>
                <w:b/>
                <w:bCs/>
                <w:kern w:val="0"/>
                <w:sz w:val="18"/>
                <w:szCs w:val="18"/>
              </w:rPr>
            </w:pPr>
          </w:p>
        </w:tc>
        <w:tc>
          <w:tcPr>
            <w:tcW w:w="1559" w:type="dxa"/>
            <w:vMerge w:val="continue"/>
            <w:vAlign w:val="center"/>
          </w:tcPr>
          <w:p>
            <w:pPr>
              <w:widowControl/>
              <w:spacing w:line="240" w:lineRule="auto"/>
              <w:jc w:val="center"/>
              <w:rPr>
                <w:rFonts w:cs="宋体" w:asciiTheme="majorEastAsia" w:hAnsiTheme="majorEastAsia" w:eastAsiaTheme="majorEastAsia"/>
                <w:b/>
                <w:bCs/>
                <w:kern w:val="0"/>
                <w:sz w:val="18"/>
                <w:szCs w:val="18"/>
              </w:rPr>
            </w:pPr>
          </w:p>
        </w:tc>
        <w:tc>
          <w:tcPr>
            <w:tcW w:w="1418" w:type="dxa"/>
            <w:gridSpan w:val="2"/>
            <w:vMerge w:val="continue"/>
            <w:vAlign w:val="center"/>
          </w:tcPr>
          <w:p>
            <w:pPr>
              <w:widowControl/>
              <w:spacing w:line="240" w:lineRule="auto"/>
              <w:jc w:val="center"/>
              <w:rPr>
                <w:rFonts w:cs="宋体" w:asciiTheme="majorEastAsia" w:hAnsiTheme="majorEastAsia" w:eastAsiaTheme="majorEastAsia"/>
                <w:b/>
                <w:bCs/>
                <w:kern w:val="0"/>
                <w:sz w:val="18"/>
                <w:szCs w:val="18"/>
              </w:rPr>
            </w:pPr>
          </w:p>
        </w:tc>
        <w:tc>
          <w:tcPr>
            <w:tcW w:w="992" w:type="dxa"/>
            <w:vMerge w:val="continue"/>
          </w:tcPr>
          <w:p>
            <w:pPr>
              <w:widowControl/>
              <w:spacing w:line="240" w:lineRule="auto"/>
              <w:jc w:val="center"/>
              <w:rPr>
                <w:rFonts w:cs="宋体" w:asciiTheme="majorEastAsia" w:hAnsiTheme="majorEastAsia" w:eastAsiaTheme="majorEastAsia"/>
                <w:b/>
                <w:bCs/>
                <w:kern w:val="0"/>
                <w:sz w:val="18"/>
                <w:szCs w:val="18"/>
              </w:rPr>
            </w:pPr>
          </w:p>
        </w:tc>
        <w:tc>
          <w:tcPr>
            <w:tcW w:w="851" w:type="dxa"/>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总投资</w:t>
            </w:r>
          </w:p>
        </w:tc>
        <w:tc>
          <w:tcPr>
            <w:tcW w:w="708" w:type="dxa"/>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补助</w:t>
            </w:r>
          </w:p>
        </w:tc>
        <w:tc>
          <w:tcPr>
            <w:tcW w:w="3828" w:type="dxa"/>
            <w:vAlign w:val="center"/>
          </w:tcPr>
          <w:p>
            <w:pPr>
              <w:widowControl/>
              <w:spacing w:line="240" w:lineRule="auto"/>
              <w:jc w:val="left"/>
              <w:rPr>
                <w:rFonts w:cs="宋体" w:asciiTheme="majorEastAsia" w:hAnsiTheme="majorEastAsia" w:eastAsiaTheme="maj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665" w:type="dxa"/>
            <w:gridSpan w:val="4"/>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合计</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p>
        </w:tc>
        <w:tc>
          <w:tcPr>
            <w:tcW w:w="992" w:type="dxa"/>
          </w:tcPr>
          <w:p>
            <w:pPr>
              <w:widowControl/>
              <w:spacing w:line="240" w:lineRule="auto"/>
              <w:jc w:val="center"/>
              <w:rPr>
                <w:rFonts w:cs="宋体" w:asciiTheme="majorEastAsia" w:hAnsiTheme="majorEastAsia" w:eastAsiaTheme="majorEastAsia"/>
                <w:b/>
                <w:bCs/>
                <w:kern w:val="0"/>
                <w:sz w:val="18"/>
                <w:szCs w:val="18"/>
              </w:rPr>
            </w:pPr>
            <w:r>
              <w:rPr>
                <w:rFonts w:cs="宋体" w:asciiTheme="majorEastAsia" w:hAnsiTheme="majorEastAsia" w:eastAsiaTheme="majorEastAsia"/>
                <w:b/>
                <w:bCs/>
                <w:kern w:val="0"/>
                <w:sz w:val="18"/>
                <w:szCs w:val="18"/>
              </w:rPr>
              <w:t>123700</w:t>
            </w:r>
          </w:p>
        </w:tc>
        <w:tc>
          <w:tcPr>
            <w:tcW w:w="851" w:type="dxa"/>
            <w:shd w:val="clear" w:color="auto" w:fill="auto"/>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50800</w:t>
            </w:r>
          </w:p>
        </w:tc>
        <w:tc>
          <w:tcPr>
            <w:tcW w:w="708" w:type="dxa"/>
            <w:shd w:val="clear" w:color="auto" w:fill="auto"/>
            <w:noWrap/>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7</w:t>
            </w:r>
            <w:r>
              <w:rPr>
                <w:rFonts w:cs="宋体" w:asciiTheme="majorEastAsia" w:hAnsiTheme="majorEastAsia" w:eastAsiaTheme="majorEastAsia"/>
                <w:b/>
                <w:bCs/>
                <w:kern w:val="0"/>
                <w:sz w:val="18"/>
                <w:szCs w:val="18"/>
              </w:rPr>
              <w:t>000</w:t>
            </w:r>
          </w:p>
        </w:tc>
        <w:tc>
          <w:tcPr>
            <w:tcW w:w="3828"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781" w:type="dxa"/>
            <w:vMerge w:val="restart"/>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w:t>
            </w:r>
          </w:p>
        </w:tc>
        <w:tc>
          <w:tcPr>
            <w:tcW w:w="947" w:type="dxa"/>
            <w:vMerge w:val="restart"/>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六盘水市中心城区</w:t>
            </w:r>
          </w:p>
        </w:tc>
        <w:tc>
          <w:tcPr>
            <w:tcW w:w="2378"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水钢物流汽车公路港</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新建</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2021</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2025</w:t>
            </w:r>
          </w:p>
        </w:tc>
        <w:tc>
          <w:tcPr>
            <w:tcW w:w="992" w:type="dxa"/>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4000</w:t>
            </w:r>
          </w:p>
        </w:tc>
        <w:tc>
          <w:tcPr>
            <w:tcW w:w="851"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708"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p>
        </w:tc>
        <w:tc>
          <w:tcPr>
            <w:tcW w:w="3828"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87.8亩，配套油、电、汽一体站，智能停车场、网络货运平台综合服务中心、仓储、维修和餐饮服务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781" w:type="dxa"/>
            <w:vMerge w:val="continue"/>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47" w:type="dxa"/>
            <w:vMerge w:val="continue"/>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2378"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水城经济开发区现代物流园</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谋划</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2021</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2025</w:t>
            </w:r>
          </w:p>
        </w:tc>
        <w:tc>
          <w:tcPr>
            <w:tcW w:w="992" w:type="dxa"/>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48900</w:t>
            </w:r>
          </w:p>
        </w:tc>
        <w:tc>
          <w:tcPr>
            <w:tcW w:w="851"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708"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p>
        </w:tc>
        <w:tc>
          <w:tcPr>
            <w:tcW w:w="3828"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ascii="宋体" w:hAnsi="宋体" w:cs="宋体"/>
                <w:color w:val="000000"/>
                <w:kern w:val="0"/>
                <w:sz w:val="18"/>
                <w:szCs w:val="18"/>
                <w:lang w:bidi="ar"/>
              </w:rPr>
              <w:t>物流园区规划面积</w:t>
            </w:r>
            <w:r>
              <w:rPr>
                <w:rStyle w:val="85"/>
                <w:lang w:bidi="ar"/>
              </w:rPr>
              <w:t>300</w:t>
            </w:r>
            <w:r>
              <w:rPr>
                <w:rFonts w:hint="eastAsia" w:ascii="宋体" w:hAnsi="宋体" w:cs="宋体"/>
                <w:color w:val="000000"/>
                <w:kern w:val="0"/>
                <w:sz w:val="18"/>
                <w:szCs w:val="18"/>
                <w:lang w:bidi="ar"/>
              </w:rPr>
              <w:t>亩，建设仓储区、联运物流区及配套基础设施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81" w:type="dxa"/>
            <w:vMerge w:val="restart"/>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w:t>
            </w:r>
          </w:p>
        </w:tc>
        <w:tc>
          <w:tcPr>
            <w:tcW w:w="947" w:type="dxa"/>
            <w:vMerge w:val="restart"/>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六盘水市</w:t>
            </w:r>
          </w:p>
        </w:tc>
        <w:tc>
          <w:tcPr>
            <w:tcW w:w="2378" w:type="dxa"/>
            <w:vMerge w:val="restart"/>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六盘水市农村物流网络节点体系建设</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新建（县级农村物流中心）</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5</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w:t>
            </w:r>
            <w:r>
              <w:rPr>
                <w:rFonts w:cs="宋体" w:asciiTheme="majorEastAsia" w:hAnsiTheme="majorEastAsia" w:eastAsiaTheme="majorEastAsia"/>
                <w:kern w:val="0"/>
                <w:sz w:val="18"/>
                <w:szCs w:val="18"/>
              </w:rPr>
              <w:t>8</w:t>
            </w:r>
          </w:p>
        </w:tc>
        <w:tc>
          <w:tcPr>
            <w:tcW w:w="992" w:type="dxa"/>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12000</w:t>
            </w:r>
          </w:p>
        </w:tc>
        <w:tc>
          <w:tcPr>
            <w:tcW w:w="851"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708"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p>
        </w:tc>
        <w:tc>
          <w:tcPr>
            <w:tcW w:w="3828"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建设县级农村物流中心3个（市中心城区、六枝特区、盘州市各1个），加强与商贸市场、农资中心、邮政集散中心等衔接与融合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81" w:type="dxa"/>
            <w:vMerge w:val="continue"/>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47" w:type="dxa"/>
            <w:vMerge w:val="continue"/>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2378" w:type="dxa"/>
            <w:vMerge w:val="continue"/>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扩建（乡镇运输服务站）</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2025</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w:t>
            </w:r>
            <w:r>
              <w:rPr>
                <w:rFonts w:cs="宋体" w:asciiTheme="majorEastAsia" w:hAnsiTheme="majorEastAsia" w:eastAsiaTheme="majorEastAsia"/>
                <w:kern w:val="0"/>
                <w:sz w:val="18"/>
                <w:szCs w:val="18"/>
              </w:rPr>
              <w:t>28</w:t>
            </w:r>
          </w:p>
        </w:tc>
        <w:tc>
          <w:tcPr>
            <w:tcW w:w="992" w:type="dxa"/>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4000</w:t>
            </w:r>
          </w:p>
        </w:tc>
        <w:tc>
          <w:tcPr>
            <w:tcW w:w="851"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708"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p>
        </w:tc>
        <w:tc>
          <w:tcPr>
            <w:tcW w:w="3828"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综合利用六盘水市10个乡镇运输服务站点，建设集维修、油、充电装、加气为一体的多站合一的服务站，开通能源下乡服务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81" w:type="dxa"/>
            <w:vMerge w:val="continue"/>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947" w:type="dxa"/>
            <w:vMerge w:val="continue"/>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2378" w:type="dxa"/>
            <w:vMerge w:val="continue"/>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改造（村级农村物流服务点）</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2025</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w:t>
            </w:r>
            <w:r>
              <w:rPr>
                <w:rFonts w:cs="宋体" w:asciiTheme="majorEastAsia" w:hAnsiTheme="majorEastAsia" w:eastAsiaTheme="majorEastAsia"/>
                <w:kern w:val="0"/>
                <w:sz w:val="18"/>
                <w:szCs w:val="18"/>
              </w:rPr>
              <w:t>28</w:t>
            </w:r>
          </w:p>
        </w:tc>
        <w:tc>
          <w:tcPr>
            <w:tcW w:w="992" w:type="dxa"/>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1000</w:t>
            </w:r>
          </w:p>
        </w:tc>
        <w:tc>
          <w:tcPr>
            <w:tcW w:w="851"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708"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p>
        </w:tc>
        <w:tc>
          <w:tcPr>
            <w:tcW w:w="3828"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利用1000个行政村内的农家店、综合服务社村邮站建设、村级农村物流服务点，完善末端物流网络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81"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w:t>
            </w:r>
          </w:p>
        </w:tc>
        <w:tc>
          <w:tcPr>
            <w:tcW w:w="94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六枝特区</w:t>
            </w:r>
          </w:p>
        </w:tc>
        <w:tc>
          <w:tcPr>
            <w:tcW w:w="2378"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六枝特区木岗物流中心</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新建</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cs="宋体" w:asciiTheme="majorEastAsia" w:hAnsiTheme="majorEastAsia" w:eastAsiaTheme="majorEastAsia"/>
                <w:kern w:val="0"/>
                <w:sz w:val="18"/>
                <w:szCs w:val="18"/>
              </w:rPr>
              <w:t>2025</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w:t>
            </w:r>
            <w:r>
              <w:rPr>
                <w:rFonts w:cs="宋体" w:asciiTheme="majorEastAsia" w:hAnsiTheme="majorEastAsia" w:eastAsiaTheme="majorEastAsia"/>
                <w:kern w:val="0"/>
                <w:sz w:val="18"/>
                <w:szCs w:val="18"/>
              </w:rPr>
              <w:t>28</w:t>
            </w:r>
          </w:p>
        </w:tc>
        <w:tc>
          <w:tcPr>
            <w:tcW w:w="992" w:type="dxa"/>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3000</w:t>
            </w:r>
          </w:p>
        </w:tc>
        <w:tc>
          <w:tcPr>
            <w:tcW w:w="851"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p>
        </w:tc>
        <w:tc>
          <w:tcPr>
            <w:tcW w:w="708"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p>
        </w:tc>
        <w:tc>
          <w:tcPr>
            <w:tcW w:w="3828"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30亩，含公交转换、物流转运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81"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4</w:t>
            </w:r>
          </w:p>
        </w:tc>
        <w:tc>
          <w:tcPr>
            <w:tcW w:w="947"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盘州市</w:t>
            </w:r>
          </w:p>
        </w:tc>
        <w:tc>
          <w:tcPr>
            <w:tcW w:w="2378"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贵州红果经济开发区中心物流园</w:t>
            </w:r>
          </w:p>
        </w:tc>
        <w:tc>
          <w:tcPr>
            <w:tcW w:w="1559"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货运枢纽续建</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2022</w:t>
            </w:r>
          </w:p>
        </w:tc>
        <w:tc>
          <w:tcPr>
            <w:tcW w:w="709"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2025</w:t>
            </w:r>
          </w:p>
        </w:tc>
        <w:tc>
          <w:tcPr>
            <w:tcW w:w="992" w:type="dxa"/>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50800</w:t>
            </w:r>
          </w:p>
        </w:tc>
        <w:tc>
          <w:tcPr>
            <w:tcW w:w="851"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50800</w:t>
            </w:r>
          </w:p>
        </w:tc>
        <w:tc>
          <w:tcPr>
            <w:tcW w:w="708" w:type="dxa"/>
            <w:shd w:val="clear" w:color="auto" w:fill="auto"/>
            <w:noWrap/>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7</w:t>
            </w:r>
            <w:r>
              <w:rPr>
                <w:rFonts w:cs="宋体" w:asciiTheme="majorEastAsia" w:hAnsiTheme="majorEastAsia" w:eastAsiaTheme="majorEastAsia"/>
                <w:kern w:val="0"/>
                <w:sz w:val="18"/>
                <w:szCs w:val="18"/>
              </w:rPr>
              <w:t>000</w:t>
            </w:r>
          </w:p>
        </w:tc>
        <w:tc>
          <w:tcPr>
            <w:tcW w:w="3828"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规划占地350亩</w:t>
            </w:r>
          </w:p>
        </w:tc>
      </w:tr>
    </w:tbl>
    <w:p>
      <w:pPr>
        <w:sectPr>
          <w:pgSz w:w="16838" w:h="11906" w:orient="landscape"/>
          <w:pgMar w:top="1800" w:right="1440" w:bottom="1800" w:left="1440" w:header="851" w:footer="992" w:gutter="0"/>
          <w:cols w:space="425" w:num="1"/>
          <w:docGrid w:type="lines" w:linePitch="381" w:charSpace="0"/>
        </w:sectPr>
      </w:pPr>
      <w:bookmarkStart w:id="1013" w:name="_Hlk66367460"/>
    </w:p>
    <w:p>
      <w:pPr>
        <w:keepNext/>
        <w:keepLines/>
        <w:spacing w:after="100" w:afterAutospacing="1"/>
        <w:outlineLvl w:val="0"/>
        <w:rPr>
          <w:rFonts w:cs="宋体" w:asciiTheme="majorEastAsia" w:hAnsiTheme="majorEastAsia" w:eastAsiaTheme="majorEastAsia"/>
          <w:b/>
          <w:bCs/>
          <w:kern w:val="44"/>
          <w:sz w:val="32"/>
          <w:szCs w:val="44"/>
        </w:rPr>
      </w:pPr>
      <w:bookmarkStart w:id="1014" w:name="_Toc89102224"/>
      <w:r>
        <w:rPr>
          <w:rFonts w:hint="eastAsia" w:cs="宋体" w:asciiTheme="majorEastAsia" w:hAnsiTheme="majorEastAsia" w:eastAsiaTheme="majorEastAsia"/>
          <w:b/>
          <w:bCs/>
          <w:kern w:val="44"/>
          <w:sz w:val="32"/>
          <w:szCs w:val="44"/>
        </w:rPr>
        <w:t>附表</w:t>
      </w:r>
      <w:r>
        <w:rPr>
          <w:rFonts w:asciiTheme="majorEastAsia" w:hAnsiTheme="majorEastAsia" w:eastAsiaTheme="majorEastAsia"/>
          <w:b/>
          <w:bCs/>
          <w:kern w:val="44"/>
          <w:sz w:val="32"/>
          <w:szCs w:val="44"/>
        </w:rPr>
        <w:t>11</w:t>
      </w:r>
      <w:r>
        <w:rPr>
          <w:rFonts w:hint="eastAsia" w:asciiTheme="majorEastAsia" w:hAnsiTheme="majorEastAsia" w:eastAsiaTheme="majorEastAsia"/>
          <w:b/>
          <w:bCs/>
          <w:kern w:val="44"/>
          <w:sz w:val="32"/>
          <w:szCs w:val="44"/>
        </w:rPr>
        <w:t xml:space="preserve">  </w:t>
      </w:r>
      <w:r>
        <w:rPr>
          <w:rFonts w:hint="eastAsia" w:cs="宋体" w:asciiTheme="majorEastAsia" w:hAnsiTheme="majorEastAsia" w:eastAsiaTheme="majorEastAsia"/>
          <w:b/>
          <w:bCs/>
          <w:kern w:val="44"/>
          <w:sz w:val="32"/>
          <w:szCs w:val="44"/>
        </w:rPr>
        <w:t>六盘水市</w:t>
      </w:r>
      <w:r>
        <w:rPr>
          <w:rFonts w:asciiTheme="majorEastAsia" w:hAnsiTheme="majorEastAsia" w:eastAsiaTheme="majorEastAsia"/>
          <w:b/>
          <w:bCs/>
          <w:kern w:val="44"/>
          <w:sz w:val="32"/>
          <w:szCs w:val="44"/>
        </w:rPr>
        <w:t>“</w:t>
      </w:r>
      <w:r>
        <w:rPr>
          <w:rFonts w:hint="eastAsia" w:cs="宋体" w:asciiTheme="majorEastAsia" w:hAnsiTheme="majorEastAsia" w:eastAsiaTheme="majorEastAsia"/>
          <w:b/>
          <w:bCs/>
          <w:kern w:val="44"/>
          <w:sz w:val="32"/>
          <w:szCs w:val="44"/>
        </w:rPr>
        <w:t>十四五</w:t>
      </w:r>
      <w:r>
        <w:rPr>
          <w:rFonts w:asciiTheme="majorEastAsia" w:hAnsiTheme="majorEastAsia" w:eastAsiaTheme="majorEastAsia"/>
          <w:b/>
          <w:bCs/>
          <w:kern w:val="44"/>
          <w:sz w:val="32"/>
          <w:szCs w:val="44"/>
        </w:rPr>
        <w:t>”</w:t>
      </w:r>
      <w:r>
        <w:rPr>
          <w:rFonts w:hint="eastAsia" w:cs="宋体" w:asciiTheme="majorEastAsia" w:hAnsiTheme="majorEastAsia" w:eastAsiaTheme="majorEastAsia"/>
          <w:b/>
          <w:bCs/>
          <w:kern w:val="44"/>
          <w:sz w:val="32"/>
          <w:szCs w:val="44"/>
        </w:rPr>
        <w:t>信息化建设项目表</w:t>
      </w:r>
      <w:bookmarkEnd w:id="1014"/>
    </w:p>
    <w:bookmarkEnd w:id="1013"/>
    <w:tbl>
      <w:tblPr>
        <w:tblStyle w:val="19"/>
        <w:tblW w:w="13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970"/>
        <w:gridCol w:w="4829"/>
        <w:gridCol w:w="992"/>
        <w:gridCol w:w="993"/>
        <w:gridCol w:w="1134"/>
        <w:gridCol w:w="1161"/>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9" w:type="dxa"/>
            <w:vMerge w:val="restart"/>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序 号</w:t>
            </w:r>
          </w:p>
        </w:tc>
        <w:tc>
          <w:tcPr>
            <w:tcW w:w="1970" w:type="dxa"/>
            <w:vMerge w:val="restart"/>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项目名称</w:t>
            </w:r>
          </w:p>
        </w:tc>
        <w:tc>
          <w:tcPr>
            <w:tcW w:w="4829" w:type="dxa"/>
            <w:vMerge w:val="restart"/>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主要建设内容</w:t>
            </w:r>
          </w:p>
        </w:tc>
        <w:tc>
          <w:tcPr>
            <w:tcW w:w="992" w:type="dxa"/>
            <w:vMerge w:val="restart"/>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开工年</w:t>
            </w:r>
          </w:p>
        </w:tc>
        <w:tc>
          <w:tcPr>
            <w:tcW w:w="993" w:type="dxa"/>
            <w:vMerge w:val="restart"/>
            <w:shd w:val="clear" w:color="auto" w:fill="auto"/>
            <w:vAlign w:val="center"/>
          </w:tcPr>
          <w:p>
            <w:pPr>
              <w:widowControl/>
              <w:spacing w:line="240" w:lineRule="auto"/>
              <w:jc w:val="center"/>
              <w:rPr>
                <w:rFonts w:cs="宋体" w:asciiTheme="majorEastAsia" w:hAnsiTheme="majorEastAsia" w:eastAsiaTheme="majorEastAsia"/>
                <w:b/>
                <w:bCs/>
                <w:kern w:val="0"/>
                <w:sz w:val="18"/>
                <w:szCs w:val="18"/>
              </w:rPr>
            </w:pPr>
            <w:r>
              <w:rPr>
                <w:rFonts w:hint="eastAsia" w:cs="宋体" w:asciiTheme="majorEastAsia" w:hAnsiTheme="majorEastAsia" w:eastAsiaTheme="majorEastAsia"/>
                <w:b/>
                <w:bCs/>
                <w:kern w:val="0"/>
                <w:sz w:val="18"/>
                <w:szCs w:val="18"/>
              </w:rPr>
              <w:t>完工年</w:t>
            </w:r>
          </w:p>
        </w:tc>
        <w:tc>
          <w:tcPr>
            <w:tcW w:w="1134" w:type="dxa"/>
            <w:vMerge w:val="restart"/>
            <w:vAlign w:val="center"/>
          </w:tcPr>
          <w:p>
            <w:pPr>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总投资</w:t>
            </w:r>
          </w:p>
          <w:p>
            <w:pPr>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（万元）</w:t>
            </w:r>
          </w:p>
        </w:tc>
        <w:tc>
          <w:tcPr>
            <w:tcW w:w="2241" w:type="dxa"/>
            <w:gridSpan w:val="2"/>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“十四五”计划投资(万元)</w:t>
            </w:r>
          </w:p>
        </w:tc>
        <w:tc>
          <w:tcPr>
            <w:tcW w:w="1080" w:type="dxa"/>
            <w:vMerge w:val="restart"/>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9" w:type="dxa"/>
            <w:vMerge w:val="continue"/>
            <w:vAlign w:val="center"/>
          </w:tcPr>
          <w:p>
            <w:pPr>
              <w:widowControl/>
              <w:spacing w:line="240" w:lineRule="auto"/>
              <w:jc w:val="left"/>
              <w:rPr>
                <w:rFonts w:cs="宋体" w:asciiTheme="majorEastAsia" w:hAnsiTheme="majorEastAsia" w:eastAsiaTheme="majorEastAsia"/>
                <w:b/>
                <w:bCs/>
                <w:color w:val="000000"/>
                <w:kern w:val="0"/>
                <w:sz w:val="18"/>
                <w:szCs w:val="18"/>
              </w:rPr>
            </w:pPr>
          </w:p>
        </w:tc>
        <w:tc>
          <w:tcPr>
            <w:tcW w:w="1970" w:type="dxa"/>
            <w:vMerge w:val="continue"/>
            <w:vAlign w:val="center"/>
          </w:tcPr>
          <w:p>
            <w:pPr>
              <w:widowControl/>
              <w:spacing w:line="240" w:lineRule="auto"/>
              <w:jc w:val="left"/>
              <w:rPr>
                <w:rFonts w:cs="宋体" w:asciiTheme="majorEastAsia" w:hAnsiTheme="majorEastAsia" w:eastAsiaTheme="majorEastAsia"/>
                <w:b/>
                <w:bCs/>
                <w:color w:val="000000"/>
                <w:kern w:val="0"/>
                <w:sz w:val="18"/>
                <w:szCs w:val="18"/>
              </w:rPr>
            </w:pPr>
          </w:p>
        </w:tc>
        <w:tc>
          <w:tcPr>
            <w:tcW w:w="4829" w:type="dxa"/>
            <w:vMerge w:val="continue"/>
            <w:vAlign w:val="center"/>
          </w:tcPr>
          <w:p>
            <w:pPr>
              <w:widowControl/>
              <w:spacing w:line="240" w:lineRule="auto"/>
              <w:jc w:val="left"/>
              <w:rPr>
                <w:rFonts w:cs="宋体" w:asciiTheme="majorEastAsia" w:hAnsiTheme="majorEastAsia" w:eastAsiaTheme="majorEastAsia"/>
                <w:b/>
                <w:bCs/>
                <w:color w:val="000000"/>
                <w:kern w:val="0"/>
                <w:sz w:val="18"/>
                <w:szCs w:val="18"/>
              </w:rPr>
            </w:pPr>
          </w:p>
        </w:tc>
        <w:tc>
          <w:tcPr>
            <w:tcW w:w="992" w:type="dxa"/>
            <w:vMerge w:val="continue"/>
            <w:vAlign w:val="center"/>
          </w:tcPr>
          <w:p>
            <w:pPr>
              <w:widowControl/>
              <w:spacing w:line="240" w:lineRule="auto"/>
              <w:jc w:val="left"/>
              <w:rPr>
                <w:rFonts w:cs="宋体" w:asciiTheme="majorEastAsia" w:hAnsiTheme="majorEastAsia" w:eastAsiaTheme="majorEastAsia"/>
                <w:b/>
                <w:bCs/>
                <w:kern w:val="0"/>
                <w:sz w:val="18"/>
                <w:szCs w:val="18"/>
              </w:rPr>
            </w:pPr>
          </w:p>
        </w:tc>
        <w:tc>
          <w:tcPr>
            <w:tcW w:w="993" w:type="dxa"/>
            <w:vMerge w:val="continue"/>
            <w:vAlign w:val="center"/>
          </w:tcPr>
          <w:p>
            <w:pPr>
              <w:widowControl/>
              <w:spacing w:line="240" w:lineRule="auto"/>
              <w:jc w:val="left"/>
              <w:rPr>
                <w:rFonts w:cs="宋体" w:asciiTheme="majorEastAsia" w:hAnsiTheme="majorEastAsia" w:eastAsiaTheme="majorEastAsia"/>
                <w:b/>
                <w:bCs/>
                <w:kern w:val="0"/>
                <w:sz w:val="18"/>
                <w:szCs w:val="18"/>
              </w:rPr>
            </w:pPr>
          </w:p>
        </w:tc>
        <w:tc>
          <w:tcPr>
            <w:tcW w:w="1134" w:type="dxa"/>
            <w:vMerge w:val="continue"/>
            <w:shd w:val="clear" w:color="000000" w:fill="FFFFFF"/>
          </w:tcPr>
          <w:p>
            <w:pPr>
              <w:widowControl/>
              <w:spacing w:line="240" w:lineRule="auto"/>
              <w:jc w:val="center"/>
              <w:rPr>
                <w:rFonts w:cs="宋体" w:asciiTheme="majorEastAsia" w:hAnsiTheme="majorEastAsia" w:eastAsiaTheme="majorEastAsia"/>
                <w:b/>
                <w:bCs/>
                <w:color w:val="000000"/>
                <w:kern w:val="0"/>
                <w:sz w:val="18"/>
                <w:szCs w:val="18"/>
              </w:rPr>
            </w:pPr>
          </w:p>
        </w:tc>
        <w:tc>
          <w:tcPr>
            <w:tcW w:w="1161" w:type="dxa"/>
            <w:shd w:val="clear" w:color="000000" w:fill="FFFFFF"/>
            <w:noWrap/>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合计</w:t>
            </w:r>
          </w:p>
        </w:tc>
        <w:tc>
          <w:tcPr>
            <w:tcW w:w="1080" w:type="dxa"/>
            <w:shd w:val="clear" w:color="000000" w:fill="FFFFFF"/>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补助</w:t>
            </w:r>
          </w:p>
        </w:tc>
        <w:tc>
          <w:tcPr>
            <w:tcW w:w="1080" w:type="dxa"/>
            <w:vMerge w:val="continue"/>
            <w:vAlign w:val="center"/>
          </w:tcPr>
          <w:p>
            <w:pPr>
              <w:widowControl/>
              <w:spacing w:line="240" w:lineRule="auto"/>
              <w:jc w:val="left"/>
              <w:rPr>
                <w:rFonts w:cs="宋体" w:asciiTheme="majorEastAsia" w:hAnsiTheme="majorEastAsia" w:eastAsiaTheme="majorEastAsia"/>
                <w:b/>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9" w:type="dxa"/>
            <w:shd w:val="clear" w:color="auto" w:fill="auto"/>
            <w:vAlign w:val="center"/>
          </w:tcPr>
          <w:p>
            <w:pPr>
              <w:widowControl/>
              <w:spacing w:line="240" w:lineRule="auto"/>
              <w:jc w:val="center"/>
              <w:rPr>
                <w:rFonts w:cs="宋体" w:asciiTheme="majorEastAsia" w:hAnsiTheme="majorEastAsia" w:eastAsiaTheme="majorEastAsia"/>
                <w:color w:val="000000"/>
                <w:kern w:val="0"/>
                <w:sz w:val="18"/>
                <w:szCs w:val="18"/>
              </w:rPr>
            </w:pPr>
            <w:r>
              <w:rPr>
                <w:rFonts w:hint="eastAsia" w:cs="宋体" w:asciiTheme="majorEastAsia" w:hAnsiTheme="majorEastAsia" w:eastAsiaTheme="majorEastAsia"/>
                <w:color w:val="000000"/>
                <w:kern w:val="0"/>
                <w:sz w:val="18"/>
                <w:szCs w:val="18"/>
              </w:rPr>
              <w:t>　</w:t>
            </w:r>
          </w:p>
        </w:tc>
        <w:tc>
          <w:tcPr>
            <w:tcW w:w="1970" w:type="dxa"/>
            <w:shd w:val="clear" w:color="auto" w:fill="auto"/>
            <w:vAlign w:val="center"/>
          </w:tcPr>
          <w:p>
            <w:pPr>
              <w:widowControl/>
              <w:spacing w:line="240" w:lineRule="auto"/>
              <w:jc w:val="center"/>
              <w:rPr>
                <w:rFonts w:cs="宋体" w:asciiTheme="majorEastAsia" w:hAnsiTheme="majorEastAsia" w:eastAsiaTheme="majorEastAsia"/>
                <w:b/>
                <w:bCs/>
                <w:color w:val="000000"/>
                <w:kern w:val="0"/>
                <w:sz w:val="18"/>
                <w:szCs w:val="18"/>
              </w:rPr>
            </w:pPr>
            <w:r>
              <w:rPr>
                <w:rFonts w:hint="eastAsia" w:cs="宋体" w:asciiTheme="majorEastAsia" w:hAnsiTheme="majorEastAsia" w:eastAsiaTheme="majorEastAsia"/>
                <w:b/>
                <w:bCs/>
                <w:color w:val="000000"/>
                <w:kern w:val="0"/>
                <w:sz w:val="18"/>
                <w:szCs w:val="18"/>
              </w:rPr>
              <w:t>合计</w:t>
            </w:r>
          </w:p>
        </w:tc>
        <w:tc>
          <w:tcPr>
            <w:tcW w:w="4829" w:type="dxa"/>
            <w:shd w:val="clear" w:color="auto" w:fill="auto"/>
            <w:vAlign w:val="center"/>
          </w:tcPr>
          <w:p>
            <w:pPr>
              <w:widowControl/>
              <w:spacing w:line="240" w:lineRule="auto"/>
              <w:jc w:val="center"/>
              <w:rPr>
                <w:rFonts w:cs="宋体" w:asciiTheme="majorEastAsia" w:hAnsiTheme="majorEastAsia" w:eastAsiaTheme="majorEastAsia"/>
                <w:color w:val="000000"/>
                <w:kern w:val="0"/>
                <w:sz w:val="18"/>
                <w:szCs w:val="18"/>
              </w:rPr>
            </w:pPr>
            <w:r>
              <w:rPr>
                <w:rFonts w:hint="eastAsia" w:cs="宋体" w:asciiTheme="majorEastAsia" w:hAnsiTheme="majorEastAsia" w:eastAsiaTheme="majorEastAsia"/>
                <w:color w:val="000000"/>
                <w:kern w:val="0"/>
                <w:sz w:val="18"/>
                <w:szCs w:val="18"/>
              </w:rPr>
              <w:t>　</w:t>
            </w:r>
          </w:p>
        </w:tc>
        <w:tc>
          <w:tcPr>
            <w:tcW w:w="992"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　</w:t>
            </w:r>
          </w:p>
        </w:tc>
        <w:tc>
          <w:tcPr>
            <w:tcW w:w="993" w:type="dxa"/>
            <w:shd w:val="clear" w:color="auto" w:fill="auto"/>
            <w:vAlign w:val="center"/>
          </w:tcPr>
          <w:p>
            <w:pPr>
              <w:widowControl/>
              <w:spacing w:line="240" w:lineRule="auto"/>
              <w:jc w:val="center"/>
              <w:rPr>
                <w:rFonts w:cs="宋体" w:asciiTheme="majorEastAsia" w:hAnsiTheme="majorEastAsia" w:eastAsiaTheme="majorEastAsia"/>
                <w:kern w:val="0"/>
                <w:sz w:val="18"/>
                <w:szCs w:val="18"/>
              </w:rPr>
            </w:pPr>
            <w:r>
              <w:rPr>
                <w:rFonts w:hint="eastAsia" w:cs="宋体" w:asciiTheme="majorEastAsia" w:hAnsiTheme="majorEastAsia" w:eastAsiaTheme="majorEastAsia"/>
                <w:kern w:val="0"/>
                <w:sz w:val="18"/>
                <w:szCs w:val="18"/>
              </w:rPr>
              <w:t>　</w:t>
            </w:r>
          </w:p>
        </w:tc>
        <w:tc>
          <w:tcPr>
            <w:tcW w:w="1134" w:type="dxa"/>
          </w:tcPr>
          <w:p>
            <w:pPr>
              <w:widowControl/>
              <w:spacing w:line="240" w:lineRule="auto"/>
              <w:jc w:val="center"/>
              <w:rPr>
                <w:b/>
                <w:bCs/>
                <w:sz w:val="18"/>
                <w:szCs w:val="18"/>
              </w:rPr>
            </w:pPr>
            <w:r>
              <w:rPr>
                <w:b/>
                <w:bCs/>
                <w:sz w:val="18"/>
                <w:szCs w:val="18"/>
              </w:rPr>
              <w:t>9250</w:t>
            </w:r>
          </w:p>
        </w:tc>
        <w:tc>
          <w:tcPr>
            <w:tcW w:w="1161" w:type="dxa"/>
            <w:shd w:val="clear" w:color="auto" w:fill="auto"/>
          </w:tcPr>
          <w:p>
            <w:pPr>
              <w:widowControl/>
              <w:spacing w:line="240" w:lineRule="auto"/>
              <w:jc w:val="center"/>
              <w:rPr>
                <w:b/>
                <w:bCs/>
                <w:sz w:val="18"/>
                <w:szCs w:val="18"/>
              </w:rPr>
            </w:pPr>
            <w:r>
              <w:rPr>
                <w:b/>
                <w:bCs/>
                <w:sz w:val="18"/>
                <w:szCs w:val="18"/>
              </w:rPr>
              <w:t>9250</w:t>
            </w:r>
          </w:p>
        </w:tc>
        <w:tc>
          <w:tcPr>
            <w:tcW w:w="1080" w:type="dxa"/>
            <w:shd w:val="clear" w:color="auto" w:fill="auto"/>
          </w:tcPr>
          <w:p>
            <w:pPr>
              <w:widowControl/>
              <w:spacing w:line="240" w:lineRule="auto"/>
              <w:jc w:val="center"/>
              <w:rPr>
                <w:b/>
                <w:bCs/>
                <w:sz w:val="18"/>
                <w:szCs w:val="18"/>
              </w:rPr>
            </w:pPr>
          </w:p>
        </w:tc>
        <w:tc>
          <w:tcPr>
            <w:tcW w:w="1080" w:type="dxa"/>
            <w:shd w:val="clear" w:color="auto" w:fill="auto"/>
            <w:vAlign w:val="center"/>
          </w:tcPr>
          <w:p>
            <w:pPr>
              <w:widowControl/>
              <w:spacing w:line="240" w:lineRule="auto"/>
              <w:jc w:val="center"/>
              <w:rPr>
                <w:rFonts w:cs="宋体" w:asciiTheme="majorEastAsia" w:hAnsiTheme="majorEastAsia" w:eastAsiaTheme="majorEastAsia"/>
                <w:color w:val="000000"/>
                <w:kern w:val="0"/>
                <w:sz w:val="18"/>
                <w:szCs w:val="18"/>
              </w:rPr>
            </w:pPr>
            <w:r>
              <w:rPr>
                <w:rFonts w:hint="eastAsia" w:cs="宋体" w:asciiTheme="majorEastAsia" w:hAnsiTheme="majorEastAsia" w:eastAsiaTheme="majorEastAsia"/>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709" w:type="dxa"/>
            <w:shd w:val="clear" w:color="auto" w:fill="auto"/>
            <w:vAlign w:val="center"/>
          </w:tcPr>
          <w:p>
            <w:pPr>
              <w:widowControl/>
              <w:spacing w:line="240" w:lineRule="auto"/>
              <w:jc w:val="center"/>
              <w:rPr>
                <w:sz w:val="18"/>
                <w:szCs w:val="18"/>
              </w:rPr>
            </w:pPr>
            <w:r>
              <w:rPr>
                <w:rFonts w:hint="eastAsia"/>
                <w:sz w:val="18"/>
                <w:szCs w:val="18"/>
              </w:rPr>
              <w:t>1</w:t>
            </w:r>
          </w:p>
        </w:tc>
        <w:tc>
          <w:tcPr>
            <w:tcW w:w="1970" w:type="dxa"/>
            <w:shd w:val="clear" w:color="auto" w:fill="auto"/>
            <w:vAlign w:val="center"/>
          </w:tcPr>
          <w:p>
            <w:pPr>
              <w:widowControl/>
              <w:spacing w:line="340" w:lineRule="exact"/>
              <w:jc w:val="center"/>
              <w:rPr>
                <w:sz w:val="18"/>
                <w:szCs w:val="18"/>
              </w:rPr>
            </w:pPr>
            <w:r>
              <w:rPr>
                <w:rFonts w:hint="eastAsia"/>
                <w:sz w:val="18"/>
                <w:szCs w:val="18"/>
              </w:rPr>
              <w:t>六枝特区智能化城市公交管理站</w:t>
            </w:r>
          </w:p>
        </w:tc>
        <w:tc>
          <w:tcPr>
            <w:tcW w:w="4829" w:type="dxa"/>
            <w:shd w:val="clear" w:color="auto" w:fill="auto"/>
            <w:vAlign w:val="center"/>
          </w:tcPr>
          <w:p>
            <w:pPr>
              <w:widowControl/>
              <w:spacing w:line="340" w:lineRule="exact"/>
              <w:jc w:val="center"/>
              <w:rPr>
                <w:sz w:val="18"/>
                <w:szCs w:val="18"/>
              </w:rPr>
            </w:pPr>
            <w:r>
              <w:rPr>
                <w:rFonts w:hint="eastAsia"/>
                <w:sz w:val="18"/>
                <w:szCs w:val="18"/>
              </w:rPr>
              <w:t>项目占地面积19980㎡：其中公交枢纽站停车场8000㎡，300个停车位；充电桩50个；车辆维护维修检测平台4000㎡；智能化公交、物流及电子商务综合管理用房建设面积6000㎡及相关附属工程</w:t>
            </w:r>
          </w:p>
        </w:tc>
        <w:tc>
          <w:tcPr>
            <w:tcW w:w="992" w:type="dxa"/>
            <w:shd w:val="clear" w:color="auto" w:fill="auto"/>
            <w:vAlign w:val="center"/>
          </w:tcPr>
          <w:p>
            <w:pPr>
              <w:widowControl/>
              <w:spacing w:line="240" w:lineRule="auto"/>
              <w:jc w:val="center"/>
              <w:rPr>
                <w:sz w:val="18"/>
                <w:szCs w:val="18"/>
              </w:rPr>
            </w:pPr>
            <w:r>
              <w:rPr>
                <w:rFonts w:hint="eastAsia"/>
                <w:sz w:val="18"/>
                <w:szCs w:val="18"/>
              </w:rPr>
              <w:t>2020</w:t>
            </w:r>
          </w:p>
        </w:tc>
        <w:tc>
          <w:tcPr>
            <w:tcW w:w="993" w:type="dxa"/>
            <w:shd w:val="clear" w:color="auto" w:fill="auto"/>
            <w:vAlign w:val="center"/>
          </w:tcPr>
          <w:p>
            <w:pPr>
              <w:widowControl/>
              <w:spacing w:line="240" w:lineRule="auto"/>
              <w:jc w:val="center"/>
              <w:rPr>
                <w:sz w:val="18"/>
                <w:szCs w:val="18"/>
              </w:rPr>
            </w:pPr>
            <w:r>
              <w:rPr>
                <w:rFonts w:hint="eastAsia"/>
                <w:sz w:val="18"/>
                <w:szCs w:val="18"/>
              </w:rPr>
              <w:t>2021</w:t>
            </w:r>
          </w:p>
        </w:tc>
        <w:tc>
          <w:tcPr>
            <w:tcW w:w="1134" w:type="dxa"/>
            <w:vAlign w:val="center"/>
          </w:tcPr>
          <w:p>
            <w:pPr>
              <w:widowControl/>
              <w:spacing w:line="240" w:lineRule="auto"/>
              <w:jc w:val="center"/>
              <w:rPr>
                <w:sz w:val="18"/>
                <w:szCs w:val="18"/>
              </w:rPr>
            </w:pPr>
            <w:r>
              <w:rPr>
                <w:rFonts w:hint="eastAsia"/>
                <w:sz w:val="18"/>
                <w:szCs w:val="18"/>
              </w:rPr>
              <w:t>3800</w:t>
            </w:r>
          </w:p>
        </w:tc>
        <w:tc>
          <w:tcPr>
            <w:tcW w:w="1161" w:type="dxa"/>
            <w:shd w:val="clear" w:color="auto" w:fill="auto"/>
            <w:vAlign w:val="center"/>
          </w:tcPr>
          <w:p>
            <w:pPr>
              <w:widowControl/>
              <w:spacing w:line="240" w:lineRule="auto"/>
              <w:jc w:val="center"/>
              <w:rPr>
                <w:sz w:val="18"/>
                <w:szCs w:val="18"/>
              </w:rPr>
            </w:pPr>
            <w:r>
              <w:rPr>
                <w:rFonts w:hint="eastAsia"/>
                <w:sz w:val="18"/>
                <w:szCs w:val="18"/>
              </w:rPr>
              <w:t>3800</w:t>
            </w:r>
          </w:p>
        </w:tc>
        <w:tc>
          <w:tcPr>
            <w:tcW w:w="1080" w:type="dxa"/>
            <w:shd w:val="clear" w:color="auto" w:fill="auto"/>
            <w:vAlign w:val="center"/>
          </w:tcPr>
          <w:p>
            <w:pPr>
              <w:widowControl/>
              <w:spacing w:line="240" w:lineRule="auto"/>
              <w:jc w:val="center"/>
              <w:rPr>
                <w:sz w:val="18"/>
                <w:szCs w:val="18"/>
              </w:rPr>
            </w:pPr>
          </w:p>
        </w:tc>
        <w:tc>
          <w:tcPr>
            <w:tcW w:w="1080" w:type="dxa"/>
            <w:shd w:val="clear" w:color="auto" w:fill="auto"/>
            <w:vAlign w:val="center"/>
          </w:tcPr>
          <w:p>
            <w:pPr>
              <w:widowControl/>
              <w:spacing w:line="24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9" w:type="dxa"/>
            <w:shd w:val="clear" w:color="auto" w:fill="auto"/>
            <w:vAlign w:val="center"/>
          </w:tcPr>
          <w:p>
            <w:pPr>
              <w:widowControl/>
              <w:spacing w:line="240" w:lineRule="auto"/>
              <w:jc w:val="center"/>
              <w:rPr>
                <w:sz w:val="18"/>
                <w:szCs w:val="18"/>
              </w:rPr>
            </w:pPr>
            <w:r>
              <w:rPr>
                <w:rFonts w:hint="eastAsia"/>
                <w:sz w:val="18"/>
                <w:szCs w:val="18"/>
              </w:rPr>
              <w:t>2</w:t>
            </w:r>
          </w:p>
        </w:tc>
        <w:tc>
          <w:tcPr>
            <w:tcW w:w="1970" w:type="dxa"/>
            <w:shd w:val="clear" w:color="auto" w:fill="auto"/>
            <w:vAlign w:val="center"/>
          </w:tcPr>
          <w:p>
            <w:pPr>
              <w:widowControl/>
              <w:spacing w:line="340" w:lineRule="exact"/>
              <w:jc w:val="center"/>
              <w:rPr>
                <w:sz w:val="18"/>
                <w:szCs w:val="18"/>
              </w:rPr>
            </w:pPr>
            <w:r>
              <w:rPr>
                <w:rFonts w:hint="eastAsia"/>
                <w:sz w:val="18"/>
                <w:szCs w:val="18"/>
              </w:rPr>
              <w:t>智能治超点</w:t>
            </w:r>
          </w:p>
        </w:tc>
        <w:tc>
          <w:tcPr>
            <w:tcW w:w="4829" w:type="dxa"/>
            <w:shd w:val="clear" w:color="auto" w:fill="auto"/>
            <w:vAlign w:val="center"/>
          </w:tcPr>
          <w:p>
            <w:pPr>
              <w:widowControl/>
              <w:spacing w:line="340" w:lineRule="exact"/>
              <w:jc w:val="center"/>
              <w:rPr>
                <w:sz w:val="18"/>
                <w:szCs w:val="18"/>
              </w:rPr>
            </w:pPr>
            <w:r>
              <w:rPr>
                <w:rFonts w:hint="eastAsia"/>
                <w:sz w:val="18"/>
                <w:szCs w:val="18"/>
              </w:rPr>
              <w:t>新建5个智能治超点</w:t>
            </w:r>
          </w:p>
        </w:tc>
        <w:tc>
          <w:tcPr>
            <w:tcW w:w="992" w:type="dxa"/>
            <w:shd w:val="clear" w:color="auto" w:fill="auto"/>
            <w:noWrap/>
            <w:vAlign w:val="center"/>
          </w:tcPr>
          <w:p>
            <w:pPr>
              <w:widowControl/>
              <w:spacing w:line="240" w:lineRule="auto"/>
              <w:jc w:val="center"/>
              <w:rPr>
                <w:sz w:val="18"/>
                <w:szCs w:val="18"/>
              </w:rPr>
            </w:pPr>
            <w:r>
              <w:rPr>
                <w:rFonts w:hint="eastAsia"/>
                <w:sz w:val="18"/>
                <w:szCs w:val="18"/>
              </w:rPr>
              <w:t>2023</w:t>
            </w:r>
          </w:p>
        </w:tc>
        <w:tc>
          <w:tcPr>
            <w:tcW w:w="993" w:type="dxa"/>
            <w:shd w:val="clear" w:color="auto" w:fill="auto"/>
            <w:noWrap/>
            <w:vAlign w:val="center"/>
          </w:tcPr>
          <w:p>
            <w:pPr>
              <w:widowControl/>
              <w:spacing w:line="240" w:lineRule="auto"/>
              <w:jc w:val="center"/>
              <w:rPr>
                <w:sz w:val="18"/>
                <w:szCs w:val="18"/>
              </w:rPr>
            </w:pPr>
            <w:r>
              <w:rPr>
                <w:rFonts w:hint="eastAsia"/>
                <w:sz w:val="18"/>
                <w:szCs w:val="18"/>
              </w:rPr>
              <w:t>2024</w:t>
            </w:r>
          </w:p>
        </w:tc>
        <w:tc>
          <w:tcPr>
            <w:tcW w:w="1134" w:type="dxa"/>
            <w:vAlign w:val="center"/>
          </w:tcPr>
          <w:p>
            <w:pPr>
              <w:widowControl/>
              <w:spacing w:line="240" w:lineRule="auto"/>
              <w:jc w:val="center"/>
              <w:rPr>
                <w:sz w:val="18"/>
                <w:szCs w:val="18"/>
              </w:rPr>
            </w:pPr>
            <w:r>
              <w:rPr>
                <w:rFonts w:hint="eastAsia"/>
                <w:sz w:val="18"/>
                <w:szCs w:val="18"/>
              </w:rPr>
              <w:t>750</w:t>
            </w:r>
          </w:p>
        </w:tc>
        <w:tc>
          <w:tcPr>
            <w:tcW w:w="1161" w:type="dxa"/>
            <w:shd w:val="clear" w:color="auto" w:fill="auto"/>
            <w:vAlign w:val="center"/>
          </w:tcPr>
          <w:p>
            <w:pPr>
              <w:widowControl/>
              <w:spacing w:line="240" w:lineRule="auto"/>
              <w:jc w:val="center"/>
              <w:rPr>
                <w:sz w:val="18"/>
                <w:szCs w:val="18"/>
              </w:rPr>
            </w:pPr>
            <w:r>
              <w:rPr>
                <w:rFonts w:hint="eastAsia"/>
                <w:sz w:val="18"/>
                <w:szCs w:val="18"/>
              </w:rPr>
              <w:t>750</w:t>
            </w:r>
          </w:p>
        </w:tc>
        <w:tc>
          <w:tcPr>
            <w:tcW w:w="1080" w:type="dxa"/>
            <w:shd w:val="clear" w:color="auto" w:fill="auto"/>
            <w:noWrap/>
            <w:vAlign w:val="center"/>
          </w:tcPr>
          <w:p>
            <w:pPr>
              <w:widowControl/>
              <w:spacing w:line="240" w:lineRule="auto"/>
              <w:jc w:val="center"/>
              <w:rPr>
                <w:sz w:val="18"/>
                <w:szCs w:val="18"/>
              </w:rPr>
            </w:pPr>
          </w:p>
        </w:tc>
        <w:tc>
          <w:tcPr>
            <w:tcW w:w="1080" w:type="dxa"/>
            <w:shd w:val="clear" w:color="auto" w:fill="auto"/>
            <w:vAlign w:val="center"/>
          </w:tcPr>
          <w:p>
            <w:pPr>
              <w:widowControl/>
              <w:spacing w:line="24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09" w:type="dxa"/>
            <w:shd w:val="clear" w:color="auto" w:fill="auto"/>
            <w:vAlign w:val="center"/>
          </w:tcPr>
          <w:p>
            <w:pPr>
              <w:widowControl/>
              <w:spacing w:line="240" w:lineRule="auto"/>
              <w:jc w:val="center"/>
              <w:rPr>
                <w:sz w:val="18"/>
                <w:szCs w:val="18"/>
              </w:rPr>
            </w:pPr>
            <w:r>
              <w:rPr>
                <w:rFonts w:hint="eastAsia"/>
                <w:sz w:val="18"/>
                <w:szCs w:val="18"/>
              </w:rPr>
              <w:t>3</w:t>
            </w:r>
          </w:p>
        </w:tc>
        <w:tc>
          <w:tcPr>
            <w:tcW w:w="1970" w:type="dxa"/>
            <w:shd w:val="clear" w:color="auto" w:fill="auto"/>
            <w:vAlign w:val="center"/>
          </w:tcPr>
          <w:p>
            <w:pPr>
              <w:widowControl/>
              <w:spacing w:line="340" w:lineRule="exact"/>
              <w:jc w:val="center"/>
              <w:rPr>
                <w:sz w:val="18"/>
                <w:szCs w:val="18"/>
              </w:rPr>
            </w:pPr>
            <w:r>
              <w:rPr>
                <w:rFonts w:hint="eastAsia"/>
                <w:sz w:val="18"/>
                <w:szCs w:val="18"/>
              </w:rPr>
              <w:t>交通综合管理站</w:t>
            </w:r>
          </w:p>
        </w:tc>
        <w:tc>
          <w:tcPr>
            <w:tcW w:w="4829" w:type="dxa"/>
            <w:shd w:val="clear" w:color="auto" w:fill="auto"/>
            <w:vAlign w:val="center"/>
          </w:tcPr>
          <w:p>
            <w:pPr>
              <w:widowControl/>
              <w:spacing w:line="340" w:lineRule="exact"/>
              <w:jc w:val="center"/>
              <w:rPr>
                <w:sz w:val="18"/>
                <w:szCs w:val="18"/>
              </w:rPr>
            </w:pPr>
            <w:r>
              <w:rPr>
                <w:rFonts w:hint="eastAsia"/>
                <w:sz w:val="18"/>
                <w:szCs w:val="18"/>
              </w:rPr>
              <w:t>新建交通综合管理站5个，含治超、运政、路政、水运、质监等交通领域执法</w:t>
            </w:r>
          </w:p>
        </w:tc>
        <w:tc>
          <w:tcPr>
            <w:tcW w:w="992" w:type="dxa"/>
            <w:shd w:val="clear" w:color="auto" w:fill="auto"/>
            <w:noWrap/>
            <w:vAlign w:val="center"/>
          </w:tcPr>
          <w:p>
            <w:pPr>
              <w:widowControl/>
              <w:spacing w:line="240" w:lineRule="auto"/>
              <w:jc w:val="center"/>
              <w:rPr>
                <w:sz w:val="18"/>
                <w:szCs w:val="18"/>
              </w:rPr>
            </w:pPr>
            <w:r>
              <w:rPr>
                <w:rFonts w:hint="eastAsia"/>
                <w:sz w:val="18"/>
                <w:szCs w:val="18"/>
              </w:rPr>
              <w:t>2021</w:t>
            </w:r>
          </w:p>
        </w:tc>
        <w:tc>
          <w:tcPr>
            <w:tcW w:w="993" w:type="dxa"/>
            <w:shd w:val="clear" w:color="auto" w:fill="auto"/>
            <w:noWrap/>
            <w:vAlign w:val="center"/>
          </w:tcPr>
          <w:p>
            <w:pPr>
              <w:widowControl/>
              <w:spacing w:line="240" w:lineRule="auto"/>
              <w:jc w:val="center"/>
              <w:rPr>
                <w:sz w:val="18"/>
                <w:szCs w:val="18"/>
              </w:rPr>
            </w:pPr>
            <w:r>
              <w:rPr>
                <w:rFonts w:hint="eastAsia"/>
                <w:sz w:val="18"/>
                <w:szCs w:val="18"/>
              </w:rPr>
              <w:t>2022</w:t>
            </w:r>
          </w:p>
        </w:tc>
        <w:tc>
          <w:tcPr>
            <w:tcW w:w="1134" w:type="dxa"/>
            <w:vAlign w:val="center"/>
          </w:tcPr>
          <w:p>
            <w:pPr>
              <w:widowControl/>
              <w:spacing w:line="240" w:lineRule="auto"/>
              <w:jc w:val="center"/>
              <w:rPr>
                <w:sz w:val="18"/>
                <w:szCs w:val="18"/>
              </w:rPr>
            </w:pPr>
            <w:r>
              <w:rPr>
                <w:rFonts w:hint="eastAsia"/>
                <w:sz w:val="18"/>
                <w:szCs w:val="18"/>
              </w:rPr>
              <w:t>500</w:t>
            </w:r>
          </w:p>
        </w:tc>
        <w:tc>
          <w:tcPr>
            <w:tcW w:w="1161" w:type="dxa"/>
            <w:shd w:val="clear" w:color="auto" w:fill="auto"/>
            <w:vAlign w:val="center"/>
          </w:tcPr>
          <w:p>
            <w:pPr>
              <w:widowControl/>
              <w:spacing w:line="240" w:lineRule="auto"/>
              <w:jc w:val="center"/>
              <w:rPr>
                <w:sz w:val="18"/>
                <w:szCs w:val="18"/>
              </w:rPr>
            </w:pPr>
            <w:r>
              <w:rPr>
                <w:rFonts w:hint="eastAsia"/>
                <w:sz w:val="18"/>
                <w:szCs w:val="18"/>
              </w:rPr>
              <w:t>500</w:t>
            </w:r>
          </w:p>
        </w:tc>
        <w:tc>
          <w:tcPr>
            <w:tcW w:w="1080" w:type="dxa"/>
            <w:shd w:val="clear" w:color="auto" w:fill="auto"/>
            <w:noWrap/>
            <w:vAlign w:val="center"/>
          </w:tcPr>
          <w:p>
            <w:pPr>
              <w:widowControl/>
              <w:spacing w:line="240" w:lineRule="auto"/>
              <w:jc w:val="center"/>
              <w:rPr>
                <w:sz w:val="18"/>
                <w:szCs w:val="18"/>
              </w:rPr>
            </w:pPr>
          </w:p>
        </w:tc>
        <w:tc>
          <w:tcPr>
            <w:tcW w:w="1080" w:type="dxa"/>
            <w:shd w:val="clear" w:color="auto" w:fill="auto"/>
            <w:noWrap/>
            <w:vAlign w:val="center"/>
          </w:tcPr>
          <w:p>
            <w:pPr>
              <w:widowControl/>
              <w:spacing w:line="24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09" w:type="dxa"/>
            <w:shd w:val="clear" w:color="auto" w:fill="auto"/>
            <w:vAlign w:val="center"/>
          </w:tcPr>
          <w:p>
            <w:pPr>
              <w:widowControl/>
              <w:spacing w:line="240" w:lineRule="auto"/>
              <w:jc w:val="center"/>
              <w:rPr>
                <w:sz w:val="18"/>
                <w:szCs w:val="18"/>
              </w:rPr>
            </w:pPr>
            <w:r>
              <w:rPr>
                <w:rFonts w:hint="eastAsia"/>
                <w:sz w:val="18"/>
                <w:szCs w:val="18"/>
              </w:rPr>
              <w:t>4</w:t>
            </w:r>
          </w:p>
        </w:tc>
        <w:tc>
          <w:tcPr>
            <w:tcW w:w="1970" w:type="dxa"/>
            <w:shd w:val="clear" w:color="auto" w:fill="auto"/>
            <w:vAlign w:val="center"/>
          </w:tcPr>
          <w:p>
            <w:pPr>
              <w:widowControl/>
              <w:spacing w:line="340" w:lineRule="exact"/>
              <w:jc w:val="center"/>
              <w:rPr>
                <w:sz w:val="18"/>
                <w:szCs w:val="18"/>
              </w:rPr>
            </w:pPr>
            <w:r>
              <w:rPr>
                <w:rFonts w:hint="eastAsia"/>
                <w:sz w:val="18"/>
                <w:szCs w:val="18"/>
              </w:rPr>
              <w:t>牂牁江水上搜救中心</w:t>
            </w:r>
          </w:p>
        </w:tc>
        <w:tc>
          <w:tcPr>
            <w:tcW w:w="4829" w:type="dxa"/>
            <w:shd w:val="clear" w:color="auto" w:fill="auto"/>
            <w:vAlign w:val="center"/>
          </w:tcPr>
          <w:p>
            <w:pPr>
              <w:widowControl/>
              <w:spacing w:line="340" w:lineRule="exact"/>
              <w:jc w:val="center"/>
              <w:rPr>
                <w:sz w:val="18"/>
                <w:szCs w:val="18"/>
              </w:rPr>
            </w:pPr>
            <w:r>
              <w:rPr>
                <w:rFonts w:hint="eastAsia"/>
                <w:sz w:val="18"/>
                <w:szCs w:val="18"/>
              </w:rPr>
              <w:t>新建水上搜救中心及配套设施</w:t>
            </w:r>
          </w:p>
        </w:tc>
        <w:tc>
          <w:tcPr>
            <w:tcW w:w="992" w:type="dxa"/>
            <w:shd w:val="clear" w:color="auto" w:fill="auto"/>
            <w:vAlign w:val="center"/>
          </w:tcPr>
          <w:p>
            <w:pPr>
              <w:widowControl/>
              <w:spacing w:line="240" w:lineRule="auto"/>
              <w:jc w:val="center"/>
              <w:rPr>
                <w:sz w:val="18"/>
                <w:szCs w:val="18"/>
              </w:rPr>
            </w:pPr>
            <w:r>
              <w:rPr>
                <w:rFonts w:hint="eastAsia"/>
                <w:sz w:val="18"/>
                <w:szCs w:val="18"/>
              </w:rPr>
              <w:t>2023</w:t>
            </w:r>
          </w:p>
        </w:tc>
        <w:tc>
          <w:tcPr>
            <w:tcW w:w="993" w:type="dxa"/>
            <w:shd w:val="clear" w:color="auto" w:fill="auto"/>
            <w:vAlign w:val="center"/>
          </w:tcPr>
          <w:p>
            <w:pPr>
              <w:widowControl/>
              <w:spacing w:line="240" w:lineRule="auto"/>
              <w:jc w:val="center"/>
              <w:rPr>
                <w:sz w:val="18"/>
                <w:szCs w:val="18"/>
              </w:rPr>
            </w:pPr>
            <w:r>
              <w:rPr>
                <w:rFonts w:hint="eastAsia"/>
                <w:sz w:val="18"/>
                <w:szCs w:val="18"/>
              </w:rPr>
              <w:t>2025</w:t>
            </w:r>
          </w:p>
        </w:tc>
        <w:tc>
          <w:tcPr>
            <w:tcW w:w="1134" w:type="dxa"/>
            <w:vAlign w:val="center"/>
          </w:tcPr>
          <w:p>
            <w:pPr>
              <w:widowControl/>
              <w:spacing w:line="240" w:lineRule="auto"/>
              <w:jc w:val="center"/>
              <w:rPr>
                <w:sz w:val="18"/>
                <w:szCs w:val="18"/>
              </w:rPr>
            </w:pPr>
            <w:r>
              <w:rPr>
                <w:rFonts w:hint="eastAsia"/>
                <w:sz w:val="18"/>
                <w:szCs w:val="18"/>
              </w:rPr>
              <w:t>2500</w:t>
            </w:r>
          </w:p>
        </w:tc>
        <w:tc>
          <w:tcPr>
            <w:tcW w:w="1161" w:type="dxa"/>
            <w:shd w:val="clear" w:color="auto" w:fill="auto"/>
            <w:vAlign w:val="center"/>
          </w:tcPr>
          <w:p>
            <w:pPr>
              <w:widowControl/>
              <w:spacing w:line="240" w:lineRule="auto"/>
              <w:jc w:val="center"/>
              <w:rPr>
                <w:sz w:val="18"/>
                <w:szCs w:val="18"/>
              </w:rPr>
            </w:pPr>
            <w:r>
              <w:rPr>
                <w:rFonts w:hint="eastAsia"/>
                <w:sz w:val="18"/>
                <w:szCs w:val="18"/>
              </w:rPr>
              <w:t>2500</w:t>
            </w:r>
          </w:p>
        </w:tc>
        <w:tc>
          <w:tcPr>
            <w:tcW w:w="1080" w:type="dxa"/>
            <w:shd w:val="clear" w:color="auto" w:fill="auto"/>
            <w:vAlign w:val="center"/>
          </w:tcPr>
          <w:p>
            <w:pPr>
              <w:widowControl/>
              <w:spacing w:line="240" w:lineRule="auto"/>
              <w:jc w:val="center"/>
              <w:rPr>
                <w:sz w:val="18"/>
                <w:szCs w:val="18"/>
              </w:rPr>
            </w:pPr>
          </w:p>
        </w:tc>
        <w:tc>
          <w:tcPr>
            <w:tcW w:w="1080" w:type="dxa"/>
            <w:shd w:val="clear" w:color="auto" w:fill="auto"/>
            <w:vAlign w:val="center"/>
          </w:tcPr>
          <w:p>
            <w:pPr>
              <w:widowControl/>
              <w:spacing w:line="24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09" w:type="dxa"/>
            <w:shd w:val="clear" w:color="auto" w:fill="auto"/>
            <w:vAlign w:val="center"/>
          </w:tcPr>
          <w:p>
            <w:pPr>
              <w:widowControl/>
              <w:spacing w:line="240" w:lineRule="auto"/>
              <w:jc w:val="center"/>
              <w:rPr>
                <w:sz w:val="18"/>
                <w:szCs w:val="18"/>
              </w:rPr>
            </w:pPr>
            <w:r>
              <w:rPr>
                <w:rFonts w:hint="eastAsia"/>
                <w:sz w:val="18"/>
                <w:szCs w:val="18"/>
              </w:rPr>
              <w:t>5</w:t>
            </w:r>
          </w:p>
        </w:tc>
        <w:tc>
          <w:tcPr>
            <w:tcW w:w="1970" w:type="dxa"/>
            <w:shd w:val="clear" w:color="auto" w:fill="auto"/>
            <w:vAlign w:val="center"/>
          </w:tcPr>
          <w:p>
            <w:pPr>
              <w:widowControl/>
              <w:spacing w:line="340" w:lineRule="exact"/>
              <w:jc w:val="center"/>
              <w:rPr>
                <w:sz w:val="18"/>
                <w:szCs w:val="18"/>
              </w:rPr>
            </w:pPr>
            <w:r>
              <w:rPr>
                <w:rFonts w:hint="eastAsia"/>
                <w:sz w:val="18"/>
                <w:szCs w:val="18"/>
              </w:rPr>
              <w:t>六盘水道路运输从业资格考试点(3个)</w:t>
            </w:r>
          </w:p>
        </w:tc>
        <w:tc>
          <w:tcPr>
            <w:tcW w:w="4829" w:type="dxa"/>
            <w:shd w:val="clear" w:color="auto" w:fill="auto"/>
            <w:vAlign w:val="center"/>
          </w:tcPr>
          <w:p>
            <w:pPr>
              <w:widowControl/>
              <w:spacing w:line="340" w:lineRule="exact"/>
              <w:jc w:val="center"/>
              <w:rPr>
                <w:sz w:val="18"/>
                <w:szCs w:val="18"/>
              </w:rPr>
            </w:pPr>
            <w:r>
              <w:rPr>
                <w:rFonts w:hint="eastAsia"/>
                <w:sz w:val="18"/>
                <w:szCs w:val="18"/>
              </w:rPr>
              <w:t>根据《道路运输从业资格考试考点管理办法》在市中心城区、六枝、盘州各建设1个计算机理论知识考点和应用能力考点</w:t>
            </w:r>
          </w:p>
        </w:tc>
        <w:tc>
          <w:tcPr>
            <w:tcW w:w="992" w:type="dxa"/>
            <w:shd w:val="clear" w:color="auto" w:fill="auto"/>
            <w:vAlign w:val="center"/>
          </w:tcPr>
          <w:p>
            <w:pPr>
              <w:widowControl/>
              <w:spacing w:line="240" w:lineRule="auto"/>
              <w:jc w:val="center"/>
              <w:rPr>
                <w:sz w:val="18"/>
                <w:szCs w:val="18"/>
              </w:rPr>
            </w:pPr>
            <w:r>
              <w:rPr>
                <w:rFonts w:hint="eastAsia"/>
                <w:sz w:val="18"/>
                <w:szCs w:val="18"/>
              </w:rPr>
              <w:t>2021</w:t>
            </w:r>
          </w:p>
        </w:tc>
        <w:tc>
          <w:tcPr>
            <w:tcW w:w="993" w:type="dxa"/>
            <w:shd w:val="clear" w:color="auto" w:fill="auto"/>
            <w:vAlign w:val="center"/>
          </w:tcPr>
          <w:p>
            <w:pPr>
              <w:widowControl/>
              <w:spacing w:line="240" w:lineRule="auto"/>
              <w:jc w:val="center"/>
              <w:rPr>
                <w:sz w:val="18"/>
                <w:szCs w:val="18"/>
              </w:rPr>
            </w:pPr>
            <w:r>
              <w:rPr>
                <w:rFonts w:hint="eastAsia"/>
                <w:sz w:val="18"/>
                <w:szCs w:val="18"/>
              </w:rPr>
              <w:t>2025</w:t>
            </w:r>
          </w:p>
        </w:tc>
        <w:tc>
          <w:tcPr>
            <w:tcW w:w="1134" w:type="dxa"/>
            <w:vAlign w:val="center"/>
          </w:tcPr>
          <w:p>
            <w:pPr>
              <w:widowControl/>
              <w:spacing w:line="240" w:lineRule="auto"/>
              <w:jc w:val="center"/>
              <w:rPr>
                <w:sz w:val="18"/>
                <w:szCs w:val="18"/>
              </w:rPr>
            </w:pPr>
            <w:r>
              <w:rPr>
                <w:rFonts w:hint="eastAsia"/>
                <w:sz w:val="18"/>
                <w:szCs w:val="18"/>
              </w:rPr>
              <w:t>700</w:t>
            </w:r>
          </w:p>
        </w:tc>
        <w:tc>
          <w:tcPr>
            <w:tcW w:w="1161" w:type="dxa"/>
            <w:shd w:val="clear" w:color="auto" w:fill="auto"/>
            <w:vAlign w:val="center"/>
          </w:tcPr>
          <w:p>
            <w:pPr>
              <w:widowControl/>
              <w:spacing w:line="240" w:lineRule="auto"/>
              <w:jc w:val="center"/>
              <w:rPr>
                <w:sz w:val="18"/>
                <w:szCs w:val="18"/>
              </w:rPr>
            </w:pPr>
            <w:r>
              <w:rPr>
                <w:rFonts w:hint="eastAsia"/>
                <w:sz w:val="18"/>
                <w:szCs w:val="18"/>
              </w:rPr>
              <w:t>700</w:t>
            </w:r>
          </w:p>
        </w:tc>
        <w:tc>
          <w:tcPr>
            <w:tcW w:w="1080" w:type="dxa"/>
            <w:shd w:val="clear" w:color="auto" w:fill="auto"/>
            <w:vAlign w:val="center"/>
          </w:tcPr>
          <w:p>
            <w:pPr>
              <w:widowControl/>
              <w:spacing w:line="240" w:lineRule="auto"/>
              <w:jc w:val="center"/>
              <w:rPr>
                <w:sz w:val="18"/>
                <w:szCs w:val="18"/>
              </w:rPr>
            </w:pPr>
          </w:p>
        </w:tc>
        <w:tc>
          <w:tcPr>
            <w:tcW w:w="1080" w:type="dxa"/>
            <w:shd w:val="clear" w:color="auto" w:fill="auto"/>
            <w:vAlign w:val="center"/>
          </w:tcPr>
          <w:p>
            <w:pPr>
              <w:widowControl/>
              <w:spacing w:line="24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09" w:type="dxa"/>
            <w:shd w:val="clear" w:color="auto" w:fill="auto"/>
            <w:vAlign w:val="center"/>
          </w:tcPr>
          <w:p>
            <w:pPr>
              <w:widowControl/>
              <w:spacing w:line="240" w:lineRule="auto"/>
              <w:jc w:val="center"/>
              <w:rPr>
                <w:sz w:val="18"/>
                <w:szCs w:val="18"/>
              </w:rPr>
            </w:pPr>
            <w:r>
              <w:rPr>
                <w:rFonts w:hint="eastAsia"/>
                <w:sz w:val="18"/>
                <w:szCs w:val="18"/>
              </w:rPr>
              <w:t>6</w:t>
            </w:r>
          </w:p>
        </w:tc>
        <w:tc>
          <w:tcPr>
            <w:tcW w:w="1970" w:type="dxa"/>
            <w:shd w:val="clear" w:color="auto" w:fill="auto"/>
            <w:vAlign w:val="center"/>
          </w:tcPr>
          <w:p>
            <w:pPr>
              <w:widowControl/>
              <w:spacing w:line="340" w:lineRule="exact"/>
              <w:jc w:val="center"/>
              <w:rPr>
                <w:sz w:val="18"/>
                <w:szCs w:val="18"/>
              </w:rPr>
            </w:pPr>
            <w:r>
              <w:rPr>
                <w:rFonts w:hint="eastAsia"/>
                <w:sz w:val="18"/>
                <w:szCs w:val="18"/>
              </w:rPr>
              <w:t>六盘水市公交智能调度管理中心</w:t>
            </w:r>
          </w:p>
        </w:tc>
        <w:tc>
          <w:tcPr>
            <w:tcW w:w="4829" w:type="dxa"/>
            <w:shd w:val="clear" w:color="auto" w:fill="auto"/>
            <w:vAlign w:val="center"/>
          </w:tcPr>
          <w:p>
            <w:pPr>
              <w:widowControl/>
              <w:spacing w:line="340" w:lineRule="exact"/>
              <w:rPr>
                <w:sz w:val="18"/>
                <w:szCs w:val="18"/>
              </w:rPr>
            </w:pPr>
          </w:p>
        </w:tc>
        <w:tc>
          <w:tcPr>
            <w:tcW w:w="992" w:type="dxa"/>
            <w:shd w:val="clear" w:color="auto" w:fill="auto"/>
            <w:vAlign w:val="center"/>
          </w:tcPr>
          <w:p>
            <w:pPr>
              <w:widowControl/>
              <w:spacing w:line="240" w:lineRule="auto"/>
              <w:jc w:val="center"/>
              <w:rPr>
                <w:sz w:val="18"/>
                <w:szCs w:val="18"/>
              </w:rPr>
            </w:pPr>
            <w:r>
              <w:rPr>
                <w:rFonts w:hint="eastAsia"/>
                <w:sz w:val="18"/>
                <w:szCs w:val="18"/>
              </w:rPr>
              <w:t>2021</w:t>
            </w:r>
          </w:p>
        </w:tc>
        <w:tc>
          <w:tcPr>
            <w:tcW w:w="993" w:type="dxa"/>
            <w:shd w:val="clear" w:color="auto" w:fill="auto"/>
            <w:vAlign w:val="center"/>
          </w:tcPr>
          <w:p>
            <w:pPr>
              <w:widowControl/>
              <w:spacing w:line="240" w:lineRule="auto"/>
              <w:jc w:val="center"/>
              <w:rPr>
                <w:sz w:val="18"/>
                <w:szCs w:val="18"/>
              </w:rPr>
            </w:pPr>
            <w:r>
              <w:rPr>
                <w:rFonts w:hint="eastAsia"/>
                <w:sz w:val="18"/>
                <w:szCs w:val="18"/>
              </w:rPr>
              <w:t>2022</w:t>
            </w:r>
          </w:p>
        </w:tc>
        <w:tc>
          <w:tcPr>
            <w:tcW w:w="1134" w:type="dxa"/>
            <w:vAlign w:val="center"/>
          </w:tcPr>
          <w:p>
            <w:pPr>
              <w:widowControl/>
              <w:spacing w:line="240" w:lineRule="auto"/>
              <w:jc w:val="center"/>
              <w:rPr>
                <w:sz w:val="18"/>
                <w:szCs w:val="18"/>
              </w:rPr>
            </w:pPr>
            <w:r>
              <w:rPr>
                <w:rFonts w:hint="eastAsia"/>
                <w:sz w:val="18"/>
                <w:szCs w:val="18"/>
              </w:rPr>
              <w:t>1000</w:t>
            </w:r>
          </w:p>
        </w:tc>
        <w:tc>
          <w:tcPr>
            <w:tcW w:w="1161" w:type="dxa"/>
            <w:shd w:val="clear" w:color="auto" w:fill="auto"/>
            <w:vAlign w:val="center"/>
          </w:tcPr>
          <w:p>
            <w:pPr>
              <w:widowControl/>
              <w:spacing w:line="240" w:lineRule="auto"/>
              <w:jc w:val="center"/>
              <w:rPr>
                <w:sz w:val="18"/>
                <w:szCs w:val="18"/>
              </w:rPr>
            </w:pPr>
            <w:r>
              <w:rPr>
                <w:rFonts w:hint="eastAsia"/>
                <w:sz w:val="18"/>
                <w:szCs w:val="18"/>
              </w:rPr>
              <w:t>1000</w:t>
            </w:r>
          </w:p>
        </w:tc>
        <w:tc>
          <w:tcPr>
            <w:tcW w:w="1080" w:type="dxa"/>
            <w:shd w:val="clear" w:color="auto" w:fill="auto"/>
            <w:vAlign w:val="center"/>
          </w:tcPr>
          <w:p>
            <w:pPr>
              <w:widowControl/>
              <w:spacing w:line="240" w:lineRule="auto"/>
              <w:jc w:val="center"/>
              <w:rPr>
                <w:sz w:val="18"/>
                <w:szCs w:val="18"/>
              </w:rPr>
            </w:pPr>
          </w:p>
        </w:tc>
        <w:tc>
          <w:tcPr>
            <w:tcW w:w="1080" w:type="dxa"/>
            <w:shd w:val="clear" w:color="auto" w:fill="auto"/>
            <w:vAlign w:val="center"/>
          </w:tcPr>
          <w:p>
            <w:pPr>
              <w:widowControl/>
              <w:spacing w:line="240" w:lineRule="auto"/>
              <w:jc w:val="center"/>
              <w:rPr>
                <w:sz w:val="18"/>
                <w:szCs w:val="18"/>
              </w:rPr>
            </w:pPr>
            <w:r>
              <w:rPr>
                <w:rFonts w:hint="eastAsia"/>
                <w:sz w:val="18"/>
                <w:szCs w:val="18"/>
              </w:rPr>
              <w:t>凤凰山</w:t>
            </w:r>
          </w:p>
        </w:tc>
      </w:tr>
    </w:tbl>
    <w:p/>
    <w:sectPr>
      <w:pgSz w:w="16838" w:h="11906" w:orient="landscape"/>
      <w:pgMar w:top="1800" w:right="1440" w:bottom="1800" w:left="1440" w:header="851" w:footer="992" w:gutter="0"/>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Noto Sans Syriac Eastern"/>
    <w:panose1 w:val="02040503050406030204"/>
    <w:charset w:val="00"/>
    <w:family w:val="roman"/>
    <w:pitch w:val="default"/>
    <w:sig w:usb0="00000000" w:usb1="00000000" w:usb2="00000000" w:usb3="00000000" w:csb0="2000019F" w:csb1="00000000"/>
  </w:font>
  <w:font w:name="FangSong_GB2312">
    <w:altName w:val="宋体"/>
    <w:panose1 w:val="02010609060101010101"/>
    <w:charset w:val="86"/>
    <w:family w:val="modern"/>
    <w:pitch w:val="default"/>
    <w:sig w:usb0="00000000" w:usb1="00000000" w:usb2="00000016" w:usb3="00000000" w:csb0="00040001" w:csb1="00000000"/>
  </w:font>
  <w:font w:name="Century Gothic">
    <w:altName w:val="Noto Music"/>
    <w:panose1 w:val="020B0502020202020204"/>
    <w:charset w:val="00"/>
    <w:family w:val="swiss"/>
    <w:pitch w:val="default"/>
    <w:sig w:usb0="00000000" w:usb1="00000000" w:usb2="00000000" w:usb3="00000000" w:csb0="0000009F" w:csb1="00000000"/>
  </w:font>
  <w:font w:name="Verdana">
    <w:altName w:val="DejaVu Sans"/>
    <w:panose1 w:val="020B0604030504040204"/>
    <w:charset w:val="00"/>
    <w:family w:val="swiss"/>
    <w:pitch w:val="default"/>
    <w:sig w:usb0="00000000" w:usb1="00000000" w:usb2="00000010" w:usb3="00000000" w:csb0="2000019F" w:csb1="00000000"/>
  </w:font>
  <w:font w:name="仿宋">
    <w:altName w:val="宋体"/>
    <w:panose1 w:val="02010609060101010101"/>
    <w:charset w:val="86"/>
    <w:family w:val="modern"/>
    <w:pitch w:val="default"/>
    <w:sig w:usb0="00000000" w:usb1="00000000" w:usb2="00000016" w:usb3="00000000" w:csb0="00040001" w:csb1="00000000"/>
  </w:font>
  <w:font w:name="楷体">
    <w:altName w:val="方正楷体_GBK"/>
    <w:panose1 w:val="02010609060101010101"/>
    <w:charset w:val="86"/>
    <w:family w:val="modern"/>
    <w:pitch w:val="default"/>
    <w:sig w:usb0="00000000" w:usb1="00000000" w:usb2="00000016" w:usb3="00000000" w:csb0="00040001" w:csb1="00000000"/>
  </w:font>
  <w:font w:name="Times">
    <w:altName w:val="Nimbus Roman No9 L"/>
    <w:panose1 w:val="02020603050405020304"/>
    <w:charset w:val="00"/>
    <w:family w:val="roman"/>
    <w:pitch w:val="default"/>
    <w:sig w:usb0="00000000" w:usb1="00000000" w:usb2="00000000" w:usb3="00000000" w:csb0="000001FF" w:csb1="00000000"/>
  </w:font>
  <w:font w:name="等线">
    <w:altName w:val="宋体"/>
    <w:panose1 w:val="02010600030101010101"/>
    <w:charset w:val="86"/>
    <w:family w:val="auto"/>
    <w:pitch w:val="default"/>
    <w:sig w:usb0="00000000" w:usb1="00000000" w:usb2="00000016" w:usb3="00000000" w:csb0="0004000F"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 w:name="Noto Sans Syriac Eastern">
    <w:panose1 w:val="02040503050306020203"/>
    <w:charset w:val="86"/>
    <w:family w:val="auto"/>
    <w:pitch w:val="default"/>
    <w:sig w:usb0="00000000" w:usb1="00000000" w:usb2="00000080" w:usb3="00000000" w:csb0="203E0161" w:csb1="D7FF0000"/>
  </w:font>
  <w:font w:name="方正黑体_GBK">
    <w:panose1 w:val="02000000000000000000"/>
    <w:charset w:val="86"/>
    <w:family w:val="auto"/>
    <w:pitch w:val="default"/>
    <w:sig w:usb0="00000001" w:usb1="08000000" w:usb2="00000000" w:usb3="00000000" w:csb0="00040000" w:csb1="00000000"/>
  </w:font>
  <w:font w:name="NanumGothic">
    <w:panose1 w:val="020D0604000000000000"/>
    <w:charset w:val="81"/>
    <w:family w:val="auto"/>
    <w:pitch w:val="default"/>
    <w:sig w:usb0="900002A7" w:usb1="29D7FCFB" w:usb2="00000010"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ind w:firstLine="360"/>
      <w:rPr>
        <w:rStyle w:val="22"/>
      </w:rPr>
    </w:pPr>
    <w:r>
      <w:fldChar w:fldCharType="begin"/>
    </w:r>
    <w:r>
      <w:rPr>
        <w:rStyle w:val="22"/>
      </w:rPr>
      <w:instrText xml:space="preserve">PAGE  </w:instrText>
    </w:r>
    <w:r>
      <w:fldChar w:fldCharType="end"/>
    </w:r>
  </w:p>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55419245"/>
    </w:sdtPr>
    <w:sdtEndPr>
      <w:rPr>
        <w:rFonts w:ascii="Times New Roman" w:hAnsi="Times New Roman" w:cs="Times New Roman"/>
      </w:rPr>
    </w:sdtEndPr>
    <w:sdtContent>
      <w:p>
        <w:pPr>
          <w:pStyle w:val="14"/>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5</w:t>
        </w:r>
        <w:r>
          <w:rPr>
            <w:rFonts w:ascii="Times New Roman" w:hAnsi="Times New Roman" w:cs="Times New Roman"/>
          </w:rPr>
          <w:fldChar w:fldCharType="end"/>
        </w:r>
      </w:p>
    </w:sdtContent>
  </w:sdt>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07830512"/>
    </w:sdtPr>
    <w:sdtEndPr>
      <w:rPr>
        <w:rFonts w:ascii="Times New Roman" w:hAnsi="Times New Roman"/>
      </w:rPr>
    </w:sdtEndPr>
    <w:sdtContent>
      <w:p>
        <w:pPr>
          <w:pStyle w:val="14"/>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18</w:t>
        </w:r>
        <w:r>
          <w:rPr>
            <w:rFonts w:ascii="Times New Roman" w:hAnsi="Times New Roman"/>
          </w:rPr>
          <w:fldChar w:fldCharType="end"/>
        </w:r>
      </w:p>
    </w:sdtContent>
  </w:sdt>
  <w:p>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line="240" w:lineRule="auto"/>
      <w:ind w:right="361" w:rightChars="129"/>
      <w:jc w:val="left"/>
    </w:pPr>
    <w:r>
      <w:rPr>
        <w:rFonts w:hint="eastAsia"/>
      </w:rPr>
      <w:t xml:space="preserve"> </w:t>
    </w:r>
    <w:r>
      <w:t xml:space="preserve">                                                     </w:t>
    </w:r>
    <w:r>
      <w:rPr>
        <w:rFonts w:hint="eastAsia"/>
      </w:rPr>
      <w:t>六盘水市“十四五”交通运输发展规划</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line="240" w:lineRule="auto"/>
      <w:ind w:right="361" w:rightChars="129"/>
      <w:jc w:val="right"/>
    </w:pPr>
    <w:r>
      <w:rPr>
        <w:rFonts w:hint="eastAsia"/>
      </w:rPr>
      <w:t xml:space="preserve"> </w:t>
    </w:r>
    <w:r>
      <w:t xml:space="preserve">                                                                 </w:t>
    </w:r>
    <w:r>
      <w:rPr>
        <w:rFonts w:hint="eastAsia"/>
      </w:rPr>
      <w:t>六盘水市“十四五”交通运输发展规划</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FE7355"/>
    <w:multiLevelType w:val="multilevel"/>
    <w:tmpl w:val="36FE7355"/>
    <w:lvl w:ilvl="0" w:tentative="0">
      <w:start w:val="5"/>
      <w:numFmt w:val="decimal"/>
      <w:lvlText w:val="%1."/>
      <w:lvlJc w:val="left"/>
      <w:pPr>
        <w:ind w:left="922" w:hanging="36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1"/>
  <w:bordersDoNotSurroundFooter w:val="1"/>
  <w:documentProtection w:enforcement="0"/>
  <w:defaultTabStop w:val="420"/>
  <w:drawingGridHorizontalSpacing w:val="140"/>
  <w:drawingGridVerticalSpacing w:val="381"/>
  <w:displayHorizont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M2MGUzNTEzMWUwNTIwN2I3NGQyOGNjMzJlMWQxZWIifQ=="/>
  </w:docVars>
  <w:rsids>
    <w:rsidRoot w:val="004D3BA6"/>
    <w:rsid w:val="00000BA6"/>
    <w:rsid w:val="00001D93"/>
    <w:rsid w:val="000020B5"/>
    <w:rsid w:val="00004070"/>
    <w:rsid w:val="000042F2"/>
    <w:rsid w:val="000053E0"/>
    <w:rsid w:val="00005924"/>
    <w:rsid w:val="00007A5B"/>
    <w:rsid w:val="00007CF9"/>
    <w:rsid w:val="0001004A"/>
    <w:rsid w:val="000100ED"/>
    <w:rsid w:val="000101E0"/>
    <w:rsid w:val="000111A6"/>
    <w:rsid w:val="00012780"/>
    <w:rsid w:val="0001282A"/>
    <w:rsid w:val="000139E2"/>
    <w:rsid w:val="00014510"/>
    <w:rsid w:val="00014E27"/>
    <w:rsid w:val="00014F03"/>
    <w:rsid w:val="00015513"/>
    <w:rsid w:val="00020524"/>
    <w:rsid w:val="000208AF"/>
    <w:rsid w:val="00020CA6"/>
    <w:rsid w:val="00020EBA"/>
    <w:rsid w:val="000223B9"/>
    <w:rsid w:val="00024394"/>
    <w:rsid w:val="00024631"/>
    <w:rsid w:val="00025AAE"/>
    <w:rsid w:val="00025ADE"/>
    <w:rsid w:val="000264C1"/>
    <w:rsid w:val="00027937"/>
    <w:rsid w:val="00030786"/>
    <w:rsid w:val="0003082E"/>
    <w:rsid w:val="000308C5"/>
    <w:rsid w:val="00031A2C"/>
    <w:rsid w:val="00031D18"/>
    <w:rsid w:val="000326AD"/>
    <w:rsid w:val="00033522"/>
    <w:rsid w:val="00034880"/>
    <w:rsid w:val="000354B5"/>
    <w:rsid w:val="00036A4A"/>
    <w:rsid w:val="00036DC5"/>
    <w:rsid w:val="000370CA"/>
    <w:rsid w:val="000372F4"/>
    <w:rsid w:val="000378C6"/>
    <w:rsid w:val="00041B25"/>
    <w:rsid w:val="00042098"/>
    <w:rsid w:val="00043A52"/>
    <w:rsid w:val="000447E4"/>
    <w:rsid w:val="00045859"/>
    <w:rsid w:val="00047A39"/>
    <w:rsid w:val="00050D80"/>
    <w:rsid w:val="00052BBA"/>
    <w:rsid w:val="00052F36"/>
    <w:rsid w:val="00053A76"/>
    <w:rsid w:val="0005516B"/>
    <w:rsid w:val="0005638E"/>
    <w:rsid w:val="000568C4"/>
    <w:rsid w:val="00056D69"/>
    <w:rsid w:val="00057723"/>
    <w:rsid w:val="000610AE"/>
    <w:rsid w:val="0006145C"/>
    <w:rsid w:val="000639B5"/>
    <w:rsid w:val="0006617D"/>
    <w:rsid w:val="00066682"/>
    <w:rsid w:val="00067110"/>
    <w:rsid w:val="00067621"/>
    <w:rsid w:val="000679EC"/>
    <w:rsid w:val="00070E65"/>
    <w:rsid w:val="00071320"/>
    <w:rsid w:val="00073407"/>
    <w:rsid w:val="00073F9A"/>
    <w:rsid w:val="00074743"/>
    <w:rsid w:val="00074EC3"/>
    <w:rsid w:val="000755E9"/>
    <w:rsid w:val="000771C0"/>
    <w:rsid w:val="0007730D"/>
    <w:rsid w:val="0008042E"/>
    <w:rsid w:val="000806CA"/>
    <w:rsid w:val="00082638"/>
    <w:rsid w:val="0008293E"/>
    <w:rsid w:val="000846E0"/>
    <w:rsid w:val="00085216"/>
    <w:rsid w:val="0008548F"/>
    <w:rsid w:val="00086657"/>
    <w:rsid w:val="00086D3C"/>
    <w:rsid w:val="00087202"/>
    <w:rsid w:val="00087885"/>
    <w:rsid w:val="00087D60"/>
    <w:rsid w:val="00091459"/>
    <w:rsid w:val="000916DD"/>
    <w:rsid w:val="00092860"/>
    <w:rsid w:val="00092C97"/>
    <w:rsid w:val="00093A04"/>
    <w:rsid w:val="00097209"/>
    <w:rsid w:val="00097226"/>
    <w:rsid w:val="000A08F6"/>
    <w:rsid w:val="000A156B"/>
    <w:rsid w:val="000A1B2F"/>
    <w:rsid w:val="000A269F"/>
    <w:rsid w:val="000A2D2E"/>
    <w:rsid w:val="000A325C"/>
    <w:rsid w:val="000A4940"/>
    <w:rsid w:val="000A4E3C"/>
    <w:rsid w:val="000A6BDA"/>
    <w:rsid w:val="000A6DB1"/>
    <w:rsid w:val="000A78C2"/>
    <w:rsid w:val="000B0DD2"/>
    <w:rsid w:val="000B200A"/>
    <w:rsid w:val="000B425B"/>
    <w:rsid w:val="000B5FF3"/>
    <w:rsid w:val="000B63BC"/>
    <w:rsid w:val="000B78C2"/>
    <w:rsid w:val="000C071E"/>
    <w:rsid w:val="000C3281"/>
    <w:rsid w:val="000C3A1C"/>
    <w:rsid w:val="000C4159"/>
    <w:rsid w:val="000C4C26"/>
    <w:rsid w:val="000C5800"/>
    <w:rsid w:val="000C6C17"/>
    <w:rsid w:val="000C78D5"/>
    <w:rsid w:val="000C7965"/>
    <w:rsid w:val="000C7FB6"/>
    <w:rsid w:val="000D0120"/>
    <w:rsid w:val="000D1600"/>
    <w:rsid w:val="000D1E7D"/>
    <w:rsid w:val="000D36F8"/>
    <w:rsid w:val="000D373C"/>
    <w:rsid w:val="000D3DDB"/>
    <w:rsid w:val="000D42EA"/>
    <w:rsid w:val="000D4DAA"/>
    <w:rsid w:val="000D5B46"/>
    <w:rsid w:val="000D6251"/>
    <w:rsid w:val="000D645F"/>
    <w:rsid w:val="000D6558"/>
    <w:rsid w:val="000D6F05"/>
    <w:rsid w:val="000E12F2"/>
    <w:rsid w:val="000E1A63"/>
    <w:rsid w:val="000E23DA"/>
    <w:rsid w:val="000E25F4"/>
    <w:rsid w:val="000E47E4"/>
    <w:rsid w:val="000E4DF9"/>
    <w:rsid w:val="000E55BA"/>
    <w:rsid w:val="000E72F9"/>
    <w:rsid w:val="000F1976"/>
    <w:rsid w:val="000F4962"/>
    <w:rsid w:val="000F4D09"/>
    <w:rsid w:val="000F55C2"/>
    <w:rsid w:val="000F5D8F"/>
    <w:rsid w:val="000F72D2"/>
    <w:rsid w:val="00102CA1"/>
    <w:rsid w:val="00105D84"/>
    <w:rsid w:val="00106ECD"/>
    <w:rsid w:val="00107F46"/>
    <w:rsid w:val="00112A5D"/>
    <w:rsid w:val="00112B1B"/>
    <w:rsid w:val="001133F5"/>
    <w:rsid w:val="00113B5B"/>
    <w:rsid w:val="0011410E"/>
    <w:rsid w:val="001152A9"/>
    <w:rsid w:val="00115373"/>
    <w:rsid w:val="00116689"/>
    <w:rsid w:val="00116C3D"/>
    <w:rsid w:val="00116CCE"/>
    <w:rsid w:val="001203D7"/>
    <w:rsid w:val="00122B0C"/>
    <w:rsid w:val="00124A72"/>
    <w:rsid w:val="0012543D"/>
    <w:rsid w:val="00126045"/>
    <w:rsid w:val="00126BE4"/>
    <w:rsid w:val="00126EE2"/>
    <w:rsid w:val="00130329"/>
    <w:rsid w:val="00130677"/>
    <w:rsid w:val="00130A9D"/>
    <w:rsid w:val="00132184"/>
    <w:rsid w:val="00132961"/>
    <w:rsid w:val="001331B0"/>
    <w:rsid w:val="00133D4F"/>
    <w:rsid w:val="001344E7"/>
    <w:rsid w:val="0013460D"/>
    <w:rsid w:val="001371CA"/>
    <w:rsid w:val="00140D05"/>
    <w:rsid w:val="00141629"/>
    <w:rsid w:val="0014194A"/>
    <w:rsid w:val="00142475"/>
    <w:rsid w:val="00143AE4"/>
    <w:rsid w:val="00144B71"/>
    <w:rsid w:val="00145223"/>
    <w:rsid w:val="0014598A"/>
    <w:rsid w:val="00145D18"/>
    <w:rsid w:val="0015028F"/>
    <w:rsid w:val="00150D4C"/>
    <w:rsid w:val="00152C67"/>
    <w:rsid w:val="00153B59"/>
    <w:rsid w:val="00154AC3"/>
    <w:rsid w:val="00154C8A"/>
    <w:rsid w:val="001560D5"/>
    <w:rsid w:val="00157486"/>
    <w:rsid w:val="00160600"/>
    <w:rsid w:val="00160EA1"/>
    <w:rsid w:val="0016212A"/>
    <w:rsid w:val="00162644"/>
    <w:rsid w:val="00162981"/>
    <w:rsid w:val="00162C21"/>
    <w:rsid w:val="001640B3"/>
    <w:rsid w:val="00164358"/>
    <w:rsid w:val="00164754"/>
    <w:rsid w:val="001648D6"/>
    <w:rsid w:val="0016797C"/>
    <w:rsid w:val="00170981"/>
    <w:rsid w:val="00171E29"/>
    <w:rsid w:val="00174129"/>
    <w:rsid w:val="001752E8"/>
    <w:rsid w:val="001769F1"/>
    <w:rsid w:val="00177323"/>
    <w:rsid w:val="001800B4"/>
    <w:rsid w:val="00180210"/>
    <w:rsid w:val="00181CDB"/>
    <w:rsid w:val="00183653"/>
    <w:rsid w:val="00184619"/>
    <w:rsid w:val="00184F07"/>
    <w:rsid w:val="00185CA0"/>
    <w:rsid w:val="00186246"/>
    <w:rsid w:val="00186EA0"/>
    <w:rsid w:val="00187175"/>
    <w:rsid w:val="00192164"/>
    <w:rsid w:val="0019384F"/>
    <w:rsid w:val="00193AD3"/>
    <w:rsid w:val="00193D24"/>
    <w:rsid w:val="00194E67"/>
    <w:rsid w:val="0019594A"/>
    <w:rsid w:val="001A17E6"/>
    <w:rsid w:val="001A19B6"/>
    <w:rsid w:val="001A2B61"/>
    <w:rsid w:val="001A3398"/>
    <w:rsid w:val="001A4A5C"/>
    <w:rsid w:val="001A4C76"/>
    <w:rsid w:val="001A50D5"/>
    <w:rsid w:val="001A550E"/>
    <w:rsid w:val="001A5B6E"/>
    <w:rsid w:val="001A75A4"/>
    <w:rsid w:val="001B0252"/>
    <w:rsid w:val="001B3B4E"/>
    <w:rsid w:val="001B3D6D"/>
    <w:rsid w:val="001B4719"/>
    <w:rsid w:val="001B533E"/>
    <w:rsid w:val="001B5B96"/>
    <w:rsid w:val="001B78EA"/>
    <w:rsid w:val="001C0250"/>
    <w:rsid w:val="001C14D0"/>
    <w:rsid w:val="001C1F06"/>
    <w:rsid w:val="001C26B6"/>
    <w:rsid w:val="001C2BDB"/>
    <w:rsid w:val="001C3587"/>
    <w:rsid w:val="001C398B"/>
    <w:rsid w:val="001C5E8A"/>
    <w:rsid w:val="001C6222"/>
    <w:rsid w:val="001C6B53"/>
    <w:rsid w:val="001C7507"/>
    <w:rsid w:val="001C7BEF"/>
    <w:rsid w:val="001D27FB"/>
    <w:rsid w:val="001D2B91"/>
    <w:rsid w:val="001D3417"/>
    <w:rsid w:val="001D40B6"/>
    <w:rsid w:val="001D4A10"/>
    <w:rsid w:val="001D77F2"/>
    <w:rsid w:val="001D7B47"/>
    <w:rsid w:val="001E1854"/>
    <w:rsid w:val="001E1D7D"/>
    <w:rsid w:val="001E1E17"/>
    <w:rsid w:val="001E2F20"/>
    <w:rsid w:val="001E3468"/>
    <w:rsid w:val="001E36B1"/>
    <w:rsid w:val="001E388D"/>
    <w:rsid w:val="001E43F5"/>
    <w:rsid w:val="001E4EB3"/>
    <w:rsid w:val="001E59B9"/>
    <w:rsid w:val="001E6650"/>
    <w:rsid w:val="001E681C"/>
    <w:rsid w:val="001E6B8E"/>
    <w:rsid w:val="001F0392"/>
    <w:rsid w:val="001F090A"/>
    <w:rsid w:val="001F136B"/>
    <w:rsid w:val="001F1454"/>
    <w:rsid w:val="001F1F87"/>
    <w:rsid w:val="001F25FC"/>
    <w:rsid w:val="001F3A13"/>
    <w:rsid w:val="001F483C"/>
    <w:rsid w:val="001F668C"/>
    <w:rsid w:val="001F6ACD"/>
    <w:rsid w:val="001F6D0C"/>
    <w:rsid w:val="001F6FD5"/>
    <w:rsid w:val="00200D48"/>
    <w:rsid w:val="00201081"/>
    <w:rsid w:val="002012BB"/>
    <w:rsid w:val="0020264C"/>
    <w:rsid w:val="00202CAA"/>
    <w:rsid w:val="00203070"/>
    <w:rsid w:val="00203A6C"/>
    <w:rsid w:val="002042D8"/>
    <w:rsid w:val="0020490F"/>
    <w:rsid w:val="00204E0E"/>
    <w:rsid w:val="00204F1E"/>
    <w:rsid w:val="00206676"/>
    <w:rsid w:val="00213E80"/>
    <w:rsid w:val="002177B3"/>
    <w:rsid w:val="00220816"/>
    <w:rsid w:val="00221F80"/>
    <w:rsid w:val="00222349"/>
    <w:rsid w:val="00222950"/>
    <w:rsid w:val="0022308B"/>
    <w:rsid w:val="00223681"/>
    <w:rsid w:val="00224BEF"/>
    <w:rsid w:val="00230959"/>
    <w:rsid w:val="0023109E"/>
    <w:rsid w:val="00231577"/>
    <w:rsid w:val="002329AE"/>
    <w:rsid w:val="002339C4"/>
    <w:rsid w:val="002364C1"/>
    <w:rsid w:val="00236522"/>
    <w:rsid w:val="00236694"/>
    <w:rsid w:val="002367EC"/>
    <w:rsid w:val="0023686D"/>
    <w:rsid w:val="002371D6"/>
    <w:rsid w:val="00242343"/>
    <w:rsid w:val="00242483"/>
    <w:rsid w:val="00242A41"/>
    <w:rsid w:val="00243BD1"/>
    <w:rsid w:val="00244356"/>
    <w:rsid w:val="0024525E"/>
    <w:rsid w:val="00245BFA"/>
    <w:rsid w:val="00245D7B"/>
    <w:rsid w:val="002462CB"/>
    <w:rsid w:val="002476A9"/>
    <w:rsid w:val="00247B37"/>
    <w:rsid w:val="00250347"/>
    <w:rsid w:val="00250DC5"/>
    <w:rsid w:val="00252FED"/>
    <w:rsid w:val="00253267"/>
    <w:rsid w:val="00253580"/>
    <w:rsid w:val="0025363B"/>
    <w:rsid w:val="00253697"/>
    <w:rsid w:val="00254E81"/>
    <w:rsid w:val="00256212"/>
    <w:rsid w:val="0025717F"/>
    <w:rsid w:val="00257D77"/>
    <w:rsid w:val="00260261"/>
    <w:rsid w:val="00260836"/>
    <w:rsid w:val="00260C99"/>
    <w:rsid w:val="00261F61"/>
    <w:rsid w:val="00262D80"/>
    <w:rsid w:val="0026355B"/>
    <w:rsid w:val="00264FA0"/>
    <w:rsid w:val="00265C1B"/>
    <w:rsid w:val="00265F97"/>
    <w:rsid w:val="002670E4"/>
    <w:rsid w:val="00267CFC"/>
    <w:rsid w:val="002701AC"/>
    <w:rsid w:val="00270522"/>
    <w:rsid w:val="00271377"/>
    <w:rsid w:val="0027179A"/>
    <w:rsid w:val="00272E02"/>
    <w:rsid w:val="002730B4"/>
    <w:rsid w:val="00273695"/>
    <w:rsid w:val="00275D69"/>
    <w:rsid w:val="002764B4"/>
    <w:rsid w:val="00277CAD"/>
    <w:rsid w:val="00280E4E"/>
    <w:rsid w:val="00280E62"/>
    <w:rsid w:val="00283F2C"/>
    <w:rsid w:val="00284D82"/>
    <w:rsid w:val="00284D96"/>
    <w:rsid w:val="00285387"/>
    <w:rsid w:val="0028596D"/>
    <w:rsid w:val="00286679"/>
    <w:rsid w:val="00287F84"/>
    <w:rsid w:val="00290B7B"/>
    <w:rsid w:val="00291546"/>
    <w:rsid w:val="00291E4D"/>
    <w:rsid w:val="002924D6"/>
    <w:rsid w:val="002943E8"/>
    <w:rsid w:val="00294D50"/>
    <w:rsid w:val="00295828"/>
    <w:rsid w:val="0029650C"/>
    <w:rsid w:val="002A0672"/>
    <w:rsid w:val="002A0BD8"/>
    <w:rsid w:val="002A0E04"/>
    <w:rsid w:val="002A0E29"/>
    <w:rsid w:val="002A14AF"/>
    <w:rsid w:val="002A223B"/>
    <w:rsid w:val="002A29E0"/>
    <w:rsid w:val="002A3ECF"/>
    <w:rsid w:val="002A46DA"/>
    <w:rsid w:val="002A5140"/>
    <w:rsid w:val="002A558D"/>
    <w:rsid w:val="002A6BA3"/>
    <w:rsid w:val="002A7792"/>
    <w:rsid w:val="002B0592"/>
    <w:rsid w:val="002B243B"/>
    <w:rsid w:val="002B359A"/>
    <w:rsid w:val="002B36AE"/>
    <w:rsid w:val="002B5483"/>
    <w:rsid w:val="002B5E6D"/>
    <w:rsid w:val="002B6403"/>
    <w:rsid w:val="002B7DFE"/>
    <w:rsid w:val="002C0375"/>
    <w:rsid w:val="002C158A"/>
    <w:rsid w:val="002C226E"/>
    <w:rsid w:val="002C3E85"/>
    <w:rsid w:val="002C478B"/>
    <w:rsid w:val="002C5B55"/>
    <w:rsid w:val="002C6302"/>
    <w:rsid w:val="002C7CDA"/>
    <w:rsid w:val="002D081A"/>
    <w:rsid w:val="002D0FA0"/>
    <w:rsid w:val="002D1C31"/>
    <w:rsid w:val="002D22AE"/>
    <w:rsid w:val="002D2550"/>
    <w:rsid w:val="002D27BB"/>
    <w:rsid w:val="002D38DC"/>
    <w:rsid w:val="002D4053"/>
    <w:rsid w:val="002D4122"/>
    <w:rsid w:val="002D5155"/>
    <w:rsid w:val="002D63BF"/>
    <w:rsid w:val="002D794B"/>
    <w:rsid w:val="002E0FB7"/>
    <w:rsid w:val="002E127B"/>
    <w:rsid w:val="002E131E"/>
    <w:rsid w:val="002E1583"/>
    <w:rsid w:val="002E1EF2"/>
    <w:rsid w:val="002E4ACB"/>
    <w:rsid w:val="002E5DDA"/>
    <w:rsid w:val="002E6B03"/>
    <w:rsid w:val="002E7374"/>
    <w:rsid w:val="002F01A7"/>
    <w:rsid w:val="002F0DDC"/>
    <w:rsid w:val="002F19BC"/>
    <w:rsid w:val="002F1B03"/>
    <w:rsid w:val="002F1EC1"/>
    <w:rsid w:val="002F23AB"/>
    <w:rsid w:val="002F28A4"/>
    <w:rsid w:val="002F2D39"/>
    <w:rsid w:val="002F4F1E"/>
    <w:rsid w:val="002F5261"/>
    <w:rsid w:val="002F68C5"/>
    <w:rsid w:val="002F69CA"/>
    <w:rsid w:val="002F6C8F"/>
    <w:rsid w:val="002F7DCF"/>
    <w:rsid w:val="003016A5"/>
    <w:rsid w:val="0030173A"/>
    <w:rsid w:val="00302616"/>
    <w:rsid w:val="0030404E"/>
    <w:rsid w:val="00304622"/>
    <w:rsid w:val="00305A5E"/>
    <w:rsid w:val="00307757"/>
    <w:rsid w:val="00310A57"/>
    <w:rsid w:val="003129D3"/>
    <w:rsid w:val="00316372"/>
    <w:rsid w:val="00317399"/>
    <w:rsid w:val="00317726"/>
    <w:rsid w:val="00320584"/>
    <w:rsid w:val="00320E61"/>
    <w:rsid w:val="00320EDB"/>
    <w:rsid w:val="003222D4"/>
    <w:rsid w:val="00322DA4"/>
    <w:rsid w:val="00323E7D"/>
    <w:rsid w:val="003258E7"/>
    <w:rsid w:val="00326433"/>
    <w:rsid w:val="003276CC"/>
    <w:rsid w:val="003279D5"/>
    <w:rsid w:val="00330173"/>
    <w:rsid w:val="003307A8"/>
    <w:rsid w:val="00331740"/>
    <w:rsid w:val="003347EB"/>
    <w:rsid w:val="00335683"/>
    <w:rsid w:val="0033584A"/>
    <w:rsid w:val="00336EFD"/>
    <w:rsid w:val="00337801"/>
    <w:rsid w:val="00340E18"/>
    <w:rsid w:val="00342302"/>
    <w:rsid w:val="003438D2"/>
    <w:rsid w:val="003449CE"/>
    <w:rsid w:val="00344EF5"/>
    <w:rsid w:val="0034686D"/>
    <w:rsid w:val="00347600"/>
    <w:rsid w:val="003523B7"/>
    <w:rsid w:val="00352569"/>
    <w:rsid w:val="00352680"/>
    <w:rsid w:val="0035304F"/>
    <w:rsid w:val="00354E82"/>
    <w:rsid w:val="0035729F"/>
    <w:rsid w:val="00360135"/>
    <w:rsid w:val="0036013D"/>
    <w:rsid w:val="00360D8F"/>
    <w:rsid w:val="003640C2"/>
    <w:rsid w:val="003662CB"/>
    <w:rsid w:val="00366370"/>
    <w:rsid w:val="00371399"/>
    <w:rsid w:val="00371B51"/>
    <w:rsid w:val="00374692"/>
    <w:rsid w:val="0037500B"/>
    <w:rsid w:val="0037756F"/>
    <w:rsid w:val="0038025D"/>
    <w:rsid w:val="0038190F"/>
    <w:rsid w:val="00382A51"/>
    <w:rsid w:val="00383BDE"/>
    <w:rsid w:val="003851CE"/>
    <w:rsid w:val="00385EB4"/>
    <w:rsid w:val="003860EA"/>
    <w:rsid w:val="00387848"/>
    <w:rsid w:val="00387E09"/>
    <w:rsid w:val="003905BD"/>
    <w:rsid w:val="003912C1"/>
    <w:rsid w:val="003914CB"/>
    <w:rsid w:val="003916AA"/>
    <w:rsid w:val="003919C6"/>
    <w:rsid w:val="0039218D"/>
    <w:rsid w:val="0039251B"/>
    <w:rsid w:val="00392B58"/>
    <w:rsid w:val="003932F6"/>
    <w:rsid w:val="00393623"/>
    <w:rsid w:val="00394002"/>
    <w:rsid w:val="003941F1"/>
    <w:rsid w:val="00394A32"/>
    <w:rsid w:val="00394B16"/>
    <w:rsid w:val="00394C90"/>
    <w:rsid w:val="003952C7"/>
    <w:rsid w:val="00395A14"/>
    <w:rsid w:val="003960D8"/>
    <w:rsid w:val="00397578"/>
    <w:rsid w:val="003A4BDF"/>
    <w:rsid w:val="003A4BED"/>
    <w:rsid w:val="003A5A5F"/>
    <w:rsid w:val="003A684F"/>
    <w:rsid w:val="003A6CF5"/>
    <w:rsid w:val="003A72B7"/>
    <w:rsid w:val="003A7D6F"/>
    <w:rsid w:val="003B0440"/>
    <w:rsid w:val="003B0AE5"/>
    <w:rsid w:val="003B0E6F"/>
    <w:rsid w:val="003B0FB3"/>
    <w:rsid w:val="003B12E4"/>
    <w:rsid w:val="003B1EE4"/>
    <w:rsid w:val="003B208F"/>
    <w:rsid w:val="003B2DE6"/>
    <w:rsid w:val="003B2F88"/>
    <w:rsid w:val="003B3050"/>
    <w:rsid w:val="003B455B"/>
    <w:rsid w:val="003B5454"/>
    <w:rsid w:val="003B5589"/>
    <w:rsid w:val="003B6559"/>
    <w:rsid w:val="003B6589"/>
    <w:rsid w:val="003B7D1A"/>
    <w:rsid w:val="003C0A7F"/>
    <w:rsid w:val="003C0DF2"/>
    <w:rsid w:val="003C0EC9"/>
    <w:rsid w:val="003C22F2"/>
    <w:rsid w:val="003C386D"/>
    <w:rsid w:val="003C4572"/>
    <w:rsid w:val="003C52CE"/>
    <w:rsid w:val="003C5AD0"/>
    <w:rsid w:val="003C5B19"/>
    <w:rsid w:val="003C677B"/>
    <w:rsid w:val="003C699E"/>
    <w:rsid w:val="003D016C"/>
    <w:rsid w:val="003D1DC8"/>
    <w:rsid w:val="003D2317"/>
    <w:rsid w:val="003D278E"/>
    <w:rsid w:val="003D3387"/>
    <w:rsid w:val="003D594C"/>
    <w:rsid w:val="003E13CB"/>
    <w:rsid w:val="003E1C1F"/>
    <w:rsid w:val="003E1EA3"/>
    <w:rsid w:val="003E32E2"/>
    <w:rsid w:val="003E3717"/>
    <w:rsid w:val="003E3CFA"/>
    <w:rsid w:val="003E57C9"/>
    <w:rsid w:val="003E6401"/>
    <w:rsid w:val="003E706E"/>
    <w:rsid w:val="003F2645"/>
    <w:rsid w:val="003F28F1"/>
    <w:rsid w:val="003F31CA"/>
    <w:rsid w:val="003F32C5"/>
    <w:rsid w:val="003F3B7A"/>
    <w:rsid w:val="003F5A26"/>
    <w:rsid w:val="003F6471"/>
    <w:rsid w:val="003F70C5"/>
    <w:rsid w:val="003F76A6"/>
    <w:rsid w:val="003F78E3"/>
    <w:rsid w:val="0040099E"/>
    <w:rsid w:val="004021A8"/>
    <w:rsid w:val="0040283B"/>
    <w:rsid w:val="004029A7"/>
    <w:rsid w:val="00404E12"/>
    <w:rsid w:val="004051D0"/>
    <w:rsid w:val="00405DAA"/>
    <w:rsid w:val="00406829"/>
    <w:rsid w:val="00406F85"/>
    <w:rsid w:val="004104A0"/>
    <w:rsid w:val="0041140B"/>
    <w:rsid w:val="0041188E"/>
    <w:rsid w:val="0041382A"/>
    <w:rsid w:val="00413C39"/>
    <w:rsid w:val="0041409F"/>
    <w:rsid w:val="00414125"/>
    <w:rsid w:val="004146B6"/>
    <w:rsid w:val="00414D2F"/>
    <w:rsid w:val="00416829"/>
    <w:rsid w:val="00416B2D"/>
    <w:rsid w:val="00420187"/>
    <w:rsid w:val="004212CD"/>
    <w:rsid w:val="00424BF7"/>
    <w:rsid w:val="004266C4"/>
    <w:rsid w:val="00427000"/>
    <w:rsid w:val="00427545"/>
    <w:rsid w:val="00427549"/>
    <w:rsid w:val="00427642"/>
    <w:rsid w:val="00427D2D"/>
    <w:rsid w:val="004318AC"/>
    <w:rsid w:val="00432569"/>
    <w:rsid w:val="00433CBE"/>
    <w:rsid w:val="00434741"/>
    <w:rsid w:val="00434FE4"/>
    <w:rsid w:val="004356A3"/>
    <w:rsid w:val="00435A65"/>
    <w:rsid w:val="0043684E"/>
    <w:rsid w:val="00436915"/>
    <w:rsid w:val="0043693A"/>
    <w:rsid w:val="00440029"/>
    <w:rsid w:val="00440806"/>
    <w:rsid w:val="00440C90"/>
    <w:rsid w:val="00441C49"/>
    <w:rsid w:val="00442A97"/>
    <w:rsid w:val="00443095"/>
    <w:rsid w:val="00443177"/>
    <w:rsid w:val="00443947"/>
    <w:rsid w:val="00443C17"/>
    <w:rsid w:val="00444211"/>
    <w:rsid w:val="004460CE"/>
    <w:rsid w:val="0044769A"/>
    <w:rsid w:val="00447FD6"/>
    <w:rsid w:val="00450216"/>
    <w:rsid w:val="00450307"/>
    <w:rsid w:val="0045097A"/>
    <w:rsid w:val="004517F0"/>
    <w:rsid w:val="00452044"/>
    <w:rsid w:val="00452306"/>
    <w:rsid w:val="004551CF"/>
    <w:rsid w:val="00455F9B"/>
    <w:rsid w:val="00456BFF"/>
    <w:rsid w:val="00460C75"/>
    <w:rsid w:val="00461D00"/>
    <w:rsid w:val="004634AB"/>
    <w:rsid w:val="00464541"/>
    <w:rsid w:val="00464CC8"/>
    <w:rsid w:val="00465854"/>
    <w:rsid w:val="0046589A"/>
    <w:rsid w:val="0047013B"/>
    <w:rsid w:val="00473B39"/>
    <w:rsid w:val="004744B8"/>
    <w:rsid w:val="00474D6F"/>
    <w:rsid w:val="00475C13"/>
    <w:rsid w:val="00476D3D"/>
    <w:rsid w:val="0048001B"/>
    <w:rsid w:val="00481C42"/>
    <w:rsid w:val="00481FBF"/>
    <w:rsid w:val="0048340C"/>
    <w:rsid w:val="004839CD"/>
    <w:rsid w:val="00483EDB"/>
    <w:rsid w:val="00484411"/>
    <w:rsid w:val="00484AF9"/>
    <w:rsid w:val="00484F80"/>
    <w:rsid w:val="00485E14"/>
    <w:rsid w:val="004865D9"/>
    <w:rsid w:val="004867C9"/>
    <w:rsid w:val="00486CA3"/>
    <w:rsid w:val="004877BB"/>
    <w:rsid w:val="00487D75"/>
    <w:rsid w:val="004900CB"/>
    <w:rsid w:val="00490A60"/>
    <w:rsid w:val="00491AF9"/>
    <w:rsid w:val="004935CD"/>
    <w:rsid w:val="00494F80"/>
    <w:rsid w:val="00495F79"/>
    <w:rsid w:val="0049781C"/>
    <w:rsid w:val="004A06EE"/>
    <w:rsid w:val="004A1351"/>
    <w:rsid w:val="004A13FD"/>
    <w:rsid w:val="004A2700"/>
    <w:rsid w:val="004A40AC"/>
    <w:rsid w:val="004A4655"/>
    <w:rsid w:val="004A46CE"/>
    <w:rsid w:val="004A4865"/>
    <w:rsid w:val="004A4D32"/>
    <w:rsid w:val="004A5232"/>
    <w:rsid w:val="004A55C2"/>
    <w:rsid w:val="004B0776"/>
    <w:rsid w:val="004B0BED"/>
    <w:rsid w:val="004B2959"/>
    <w:rsid w:val="004B29B5"/>
    <w:rsid w:val="004B395A"/>
    <w:rsid w:val="004B3B20"/>
    <w:rsid w:val="004B6049"/>
    <w:rsid w:val="004B6B17"/>
    <w:rsid w:val="004B6F79"/>
    <w:rsid w:val="004B7454"/>
    <w:rsid w:val="004C0155"/>
    <w:rsid w:val="004C0F69"/>
    <w:rsid w:val="004C100C"/>
    <w:rsid w:val="004C19F4"/>
    <w:rsid w:val="004C220F"/>
    <w:rsid w:val="004C245A"/>
    <w:rsid w:val="004C35E6"/>
    <w:rsid w:val="004C3C1F"/>
    <w:rsid w:val="004C43B8"/>
    <w:rsid w:val="004C47C3"/>
    <w:rsid w:val="004C5465"/>
    <w:rsid w:val="004C5AF0"/>
    <w:rsid w:val="004C6271"/>
    <w:rsid w:val="004C67E0"/>
    <w:rsid w:val="004C709D"/>
    <w:rsid w:val="004D0845"/>
    <w:rsid w:val="004D0E50"/>
    <w:rsid w:val="004D2271"/>
    <w:rsid w:val="004D23B1"/>
    <w:rsid w:val="004D2439"/>
    <w:rsid w:val="004D3BA6"/>
    <w:rsid w:val="004D5F67"/>
    <w:rsid w:val="004D6FE5"/>
    <w:rsid w:val="004D7B5D"/>
    <w:rsid w:val="004D7F61"/>
    <w:rsid w:val="004E1AE8"/>
    <w:rsid w:val="004E284F"/>
    <w:rsid w:val="004E2FB3"/>
    <w:rsid w:val="004E41EC"/>
    <w:rsid w:val="004E44E7"/>
    <w:rsid w:val="004E478B"/>
    <w:rsid w:val="004E4B7D"/>
    <w:rsid w:val="004E4BD0"/>
    <w:rsid w:val="004E5EF1"/>
    <w:rsid w:val="004E624B"/>
    <w:rsid w:val="004E6C0A"/>
    <w:rsid w:val="004F0E7C"/>
    <w:rsid w:val="004F1602"/>
    <w:rsid w:val="004F1FC4"/>
    <w:rsid w:val="004F60B3"/>
    <w:rsid w:val="004F614D"/>
    <w:rsid w:val="0050063B"/>
    <w:rsid w:val="0050067C"/>
    <w:rsid w:val="005021FF"/>
    <w:rsid w:val="005027ED"/>
    <w:rsid w:val="00502D58"/>
    <w:rsid w:val="00503417"/>
    <w:rsid w:val="00503764"/>
    <w:rsid w:val="00503BF5"/>
    <w:rsid w:val="00504205"/>
    <w:rsid w:val="005042AB"/>
    <w:rsid w:val="00504D57"/>
    <w:rsid w:val="00505C60"/>
    <w:rsid w:val="00510452"/>
    <w:rsid w:val="00510751"/>
    <w:rsid w:val="00511FD8"/>
    <w:rsid w:val="00512308"/>
    <w:rsid w:val="00513DE2"/>
    <w:rsid w:val="00514A01"/>
    <w:rsid w:val="0051673C"/>
    <w:rsid w:val="00517829"/>
    <w:rsid w:val="00517C2A"/>
    <w:rsid w:val="00520685"/>
    <w:rsid w:val="00521AC9"/>
    <w:rsid w:val="00521C2C"/>
    <w:rsid w:val="005220DB"/>
    <w:rsid w:val="00522285"/>
    <w:rsid w:val="00522A27"/>
    <w:rsid w:val="00523E18"/>
    <w:rsid w:val="00523E4C"/>
    <w:rsid w:val="0052637A"/>
    <w:rsid w:val="00526A1F"/>
    <w:rsid w:val="00527782"/>
    <w:rsid w:val="00530802"/>
    <w:rsid w:val="00532966"/>
    <w:rsid w:val="005331F5"/>
    <w:rsid w:val="00533435"/>
    <w:rsid w:val="00533D15"/>
    <w:rsid w:val="00534489"/>
    <w:rsid w:val="00534E68"/>
    <w:rsid w:val="00535928"/>
    <w:rsid w:val="00535A51"/>
    <w:rsid w:val="005402A4"/>
    <w:rsid w:val="005404B4"/>
    <w:rsid w:val="00542728"/>
    <w:rsid w:val="005445E5"/>
    <w:rsid w:val="00544D33"/>
    <w:rsid w:val="00544F4F"/>
    <w:rsid w:val="00545420"/>
    <w:rsid w:val="00546B17"/>
    <w:rsid w:val="0055029C"/>
    <w:rsid w:val="00551CA0"/>
    <w:rsid w:val="00551D21"/>
    <w:rsid w:val="0055269B"/>
    <w:rsid w:val="00553EBA"/>
    <w:rsid w:val="005541B2"/>
    <w:rsid w:val="005552CD"/>
    <w:rsid w:val="00555F60"/>
    <w:rsid w:val="005560A3"/>
    <w:rsid w:val="0055628A"/>
    <w:rsid w:val="00556350"/>
    <w:rsid w:val="005563EF"/>
    <w:rsid w:val="00557158"/>
    <w:rsid w:val="005571E0"/>
    <w:rsid w:val="0055725B"/>
    <w:rsid w:val="005611A1"/>
    <w:rsid w:val="00562F39"/>
    <w:rsid w:val="00563469"/>
    <w:rsid w:val="00563CBC"/>
    <w:rsid w:val="0056452B"/>
    <w:rsid w:val="005646AD"/>
    <w:rsid w:val="005651E8"/>
    <w:rsid w:val="0056703D"/>
    <w:rsid w:val="005707D7"/>
    <w:rsid w:val="00570AD1"/>
    <w:rsid w:val="00571D70"/>
    <w:rsid w:val="00573011"/>
    <w:rsid w:val="00573811"/>
    <w:rsid w:val="00575AEA"/>
    <w:rsid w:val="00575B61"/>
    <w:rsid w:val="00575E67"/>
    <w:rsid w:val="00576183"/>
    <w:rsid w:val="00576C81"/>
    <w:rsid w:val="00577D01"/>
    <w:rsid w:val="0058078C"/>
    <w:rsid w:val="0058345F"/>
    <w:rsid w:val="00583D9C"/>
    <w:rsid w:val="00584927"/>
    <w:rsid w:val="0058542A"/>
    <w:rsid w:val="005865DD"/>
    <w:rsid w:val="005872F0"/>
    <w:rsid w:val="00587629"/>
    <w:rsid w:val="00587639"/>
    <w:rsid w:val="00587983"/>
    <w:rsid w:val="00587AEF"/>
    <w:rsid w:val="00587E9F"/>
    <w:rsid w:val="00591AAD"/>
    <w:rsid w:val="00592F19"/>
    <w:rsid w:val="00594525"/>
    <w:rsid w:val="00594E80"/>
    <w:rsid w:val="00596BA8"/>
    <w:rsid w:val="005A10DA"/>
    <w:rsid w:val="005A3807"/>
    <w:rsid w:val="005A383B"/>
    <w:rsid w:val="005A5669"/>
    <w:rsid w:val="005A6456"/>
    <w:rsid w:val="005A673C"/>
    <w:rsid w:val="005A77EF"/>
    <w:rsid w:val="005A7A7F"/>
    <w:rsid w:val="005A7BC4"/>
    <w:rsid w:val="005B0A29"/>
    <w:rsid w:val="005B2AA5"/>
    <w:rsid w:val="005B331A"/>
    <w:rsid w:val="005B36E0"/>
    <w:rsid w:val="005B3805"/>
    <w:rsid w:val="005B3C83"/>
    <w:rsid w:val="005B42AE"/>
    <w:rsid w:val="005B47F3"/>
    <w:rsid w:val="005B65D7"/>
    <w:rsid w:val="005B7679"/>
    <w:rsid w:val="005B7A17"/>
    <w:rsid w:val="005B7B2D"/>
    <w:rsid w:val="005C035F"/>
    <w:rsid w:val="005C0D68"/>
    <w:rsid w:val="005C3C0D"/>
    <w:rsid w:val="005C5552"/>
    <w:rsid w:val="005C734D"/>
    <w:rsid w:val="005C73B0"/>
    <w:rsid w:val="005D379A"/>
    <w:rsid w:val="005D3836"/>
    <w:rsid w:val="005D47C7"/>
    <w:rsid w:val="005D5DDF"/>
    <w:rsid w:val="005D7C96"/>
    <w:rsid w:val="005E08FF"/>
    <w:rsid w:val="005E0963"/>
    <w:rsid w:val="005E2C0A"/>
    <w:rsid w:val="005E33D0"/>
    <w:rsid w:val="005E4144"/>
    <w:rsid w:val="005E422B"/>
    <w:rsid w:val="005E5279"/>
    <w:rsid w:val="005E5930"/>
    <w:rsid w:val="005E67CB"/>
    <w:rsid w:val="005F11B0"/>
    <w:rsid w:val="005F148E"/>
    <w:rsid w:val="005F164D"/>
    <w:rsid w:val="005F1915"/>
    <w:rsid w:val="005F1A55"/>
    <w:rsid w:val="005F2E79"/>
    <w:rsid w:val="005F3D77"/>
    <w:rsid w:val="005F429A"/>
    <w:rsid w:val="005F4F7D"/>
    <w:rsid w:val="005F60DA"/>
    <w:rsid w:val="005F7333"/>
    <w:rsid w:val="005F7662"/>
    <w:rsid w:val="005F7C7D"/>
    <w:rsid w:val="00600CCB"/>
    <w:rsid w:val="00601431"/>
    <w:rsid w:val="00601615"/>
    <w:rsid w:val="006017BB"/>
    <w:rsid w:val="00604D9B"/>
    <w:rsid w:val="00605296"/>
    <w:rsid w:val="006058F9"/>
    <w:rsid w:val="00606135"/>
    <w:rsid w:val="00606972"/>
    <w:rsid w:val="0060740A"/>
    <w:rsid w:val="00610EA8"/>
    <w:rsid w:val="00612669"/>
    <w:rsid w:val="006136BD"/>
    <w:rsid w:val="006138E7"/>
    <w:rsid w:val="00614148"/>
    <w:rsid w:val="006147FF"/>
    <w:rsid w:val="00615468"/>
    <w:rsid w:val="00615934"/>
    <w:rsid w:val="00615E8D"/>
    <w:rsid w:val="006169B9"/>
    <w:rsid w:val="00616C05"/>
    <w:rsid w:val="006215A6"/>
    <w:rsid w:val="00623C31"/>
    <w:rsid w:val="00623DD1"/>
    <w:rsid w:val="00623E6D"/>
    <w:rsid w:val="00624D39"/>
    <w:rsid w:val="00625D64"/>
    <w:rsid w:val="006262EA"/>
    <w:rsid w:val="00626708"/>
    <w:rsid w:val="00626BAC"/>
    <w:rsid w:val="00631037"/>
    <w:rsid w:val="00631318"/>
    <w:rsid w:val="00631569"/>
    <w:rsid w:val="00631964"/>
    <w:rsid w:val="0063241A"/>
    <w:rsid w:val="00633BC2"/>
    <w:rsid w:val="0063469C"/>
    <w:rsid w:val="0063500C"/>
    <w:rsid w:val="006355B4"/>
    <w:rsid w:val="006358F9"/>
    <w:rsid w:val="00636C1D"/>
    <w:rsid w:val="00637DDC"/>
    <w:rsid w:val="00637E2B"/>
    <w:rsid w:val="00641A67"/>
    <w:rsid w:val="006420A1"/>
    <w:rsid w:val="00642ACC"/>
    <w:rsid w:val="00644B36"/>
    <w:rsid w:val="00645B6F"/>
    <w:rsid w:val="00646C59"/>
    <w:rsid w:val="00646CC1"/>
    <w:rsid w:val="00646F2D"/>
    <w:rsid w:val="00647436"/>
    <w:rsid w:val="00647646"/>
    <w:rsid w:val="00647F20"/>
    <w:rsid w:val="006509F1"/>
    <w:rsid w:val="00650CC4"/>
    <w:rsid w:val="006519B8"/>
    <w:rsid w:val="00651B97"/>
    <w:rsid w:val="00653F9B"/>
    <w:rsid w:val="00654F22"/>
    <w:rsid w:val="00656744"/>
    <w:rsid w:val="00660480"/>
    <w:rsid w:val="006611B3"/>
    <w:rsid w:val="00663235"/>
    <w:rsid w:val="00664979"/>
    <w:rsid w:val="00664C2E"/>
    <w:rsid w:val="0066517E"/>
    <w:rsid w:val="00665C8C"/>
    <w:rsid w:val="0067006D"/>
    <w:rsid w:val="00672ECF"/>
    <w:rsid w:val="00674087"/>
    <w:rsid w:val="0067440C"/>
    <w:rsid w:val="00674503"/>
    <w:rsid w:val="00675B2C"/>
    <w:rsid w:val="00675DBE"/>
    <w:rsid w:val="00676E6C"/>
    <w:rsid w:val="0067709B"/>
    <w:rsid w:val="00677D2F"/>
    <w:rsid w:val="00677D6C"/>
    <w:rsid w:val="00680398"/>
    <w:rsid w:val="00680597"/>
    <w:rsid w:val="006806EC"/>
    <w:rsid w:val="00680D67"/>
    <w:rsid w:val="00680DB4"/>
    <w:rsid w:val="00681E73"/>
    <w:rsid w:val="00682C03"/>
    <w:rsid w:val="006842F3"/>
    <w:rsid w:val="00684812"/>
    <w:rsid w:val="006871DA"/>
    <w:rsid w:val="006875AE"/>
    <w:rsid w:val="006903E9"/>
    <w:rsid w:val="006908CC"/>
    <w:rsid w:val="00692D43"/>
    <w:rsid w:val="006931E9"/>
    <w:rsid w:val="00693A4B"/>
    <w:rsid w:val="00693E4C"/>
    <w:rsid w:val="0069422B"/>
    <w:rsid w:val="00694665"/>
    <w:rsid w:val="00696731"/>
    <w:rsid w:val="006A06C7"/>
    <w:rsid w:val="006A0711"/>
    <w:rsid w:val="006A1487"/>
    <w:rsid w:val="006A14D5"/>
    <w:rsid w:val="006A1CCD"/>
    <w:rsid w:val="006A2A33"/>
    <w:rsid w:val="006A34B5"/>
    <w:rsid w:val="006A36A8"/>
    <w:rsid w:val="006A3A92"/>
    <w:rsid w:val="006A6DFF"/>
    <w:rsid w:val="006A73F6"/>
    <w:rsid w:val="006B2A34"/>
    <w:rsid w:val="006B305B"/>
    <w:rsid w:val="006B3985"/>
    <w:rsid w:val="006B3D85"/>
    <w:rsid w:val="006B43EE"/>
    <w:rsid w:val="006B458D"/>
    <w:rsid w:val="006B5E09"/>
    <w:rsid w:val="006B77BE"/>
    <w:rsid w:val="006C0D8D"/>
    <w:rsid w:val="006C1859"/>
    <w:rsid w:val="006C18D8"/>
    <w:rsid w:val="006C2A28"/>
    <w:rsid w:val="006C3125"/>
    <w:rsid w:val="006C5436"/>
    <w:rsid w:val="006C5902"/>
    <w:rsid w:val="006C5B48"/>
    <w:rsid w:val="006C629F"/>
    <w:rsid w:val="006C666B"/>
    <w:rsid w:val="006C667E"/>
    <w:rsid w:val="006C7484"/>
    <w:rsid w:val="006D0425"/>
    <w:rsid w:val="006D0C81"/>
    <w:rsid w:val="006D1541"/>
    <w:rsid w:val="006D207A"/>
    <w:rsid w:val="006D26A4"/>
    <w:rsid w:val="006D2FCB"/>
    <w:rsid w:val="006D4797"/>
    <w:rsid w:val="006D5041"/>
    <w:rsid w:val="006D5194"/>
    <w:rsid w:val="006D52D3"/>
    <w:rsid w:val="006D5413"/>
    <w:rsid w:val="006D5D95"/>
    <w:rsid w:val="006D6791"/>
    <w:rsid w:val="006D7B76"/>
    <w:rsid w:val="006E0C43"/>
    <w:rsid w:val="006E1C04"/>
    <w:rsid w:val="006E2402"/>
    <w:rsid w:val="006E2DDE"/>
    <w:rsid w:val="006E3607"/>
    <w:rsid w:val="006E4869"/>
    <w:rsid w:val="006E4A26"/>
    <w:rsid w:val="006E4EE8"/>
    <w:rsid w:val="006E5A7D"/>
    <w:rsid w:val="006E61CF"/>
    <w:rsid w:val="006E6A22"/>
    <w:rsid w:val="006E77C2"/>
    <w:rsid w:val="006F03D0"/>
    <w:rsid w:val="006F085A"/>
    <w:rsid w:val="006F4755"/>
    <w:rsid w:val="006F4802"/>
    <w:rsid w:val="006F4951"/>
    <w:rsid w:val="006F5D44"/>
    <w:rsid w:val="006F66DA"/>
    <w:rsid w:val="007002EB"/>
    <w:rsid w:val="00700461"/>
    <w:rsid w:val="00700551"/>
    <w:rsid w:val="00701C89"/>
    <w:rsid w:val="00702A7E"/>
    <w:rsid w:val="0070442E"/>
    <w:rsid w:val="00704833"/>
    <w:rsid w:val="007058C3"/>
    <w:rsid w:val="00706A97"/>
    <w:rsid w:val="00706AFF"/>
    <w:rsid w:val="00707073"/>
    <w:rsid w:val="0070718A"/>
    <w:rsid w:val="00707EE6"/>
    <w:rsid w:val="00710D88"/>
    <w:rsid w:val="00710F34"/>
    <w:rsid w:val="00711F82"/>
    <w:rsid w:val="00712ABA"/>
    <w:rsid w:val="00714943"/>
    <w:rsid w:val="00714C82"/>
    <w:rsid w:val="00714E6F"/>
    <w:rsid w:val="00720F8A"/>
    <w:rsid w:val="007215E6"/>
    <w:rsid w:val="00721ED2"/>
    <w:rsid w:val="00721F91"/>
    <w:rsid w:val="00722906"/>
    <w:rsid w:val="00722F7E"/>
    <w:rsid w:val="007245FE"/>
    <w:rsid w:val="007259E1"/>
    <w:rsid w:val="00725D89"/>
    <w:rsid w:val="0073196D"/>
    <w:rsid w:val="00732009"/>
    <w:rsid w:val="007338CB"/>
    <w:rsid w:val="00735791"/>
    <w:rsid w:val="00735E40"/>
    <w:rsid w:val="00736052"/>
    <w:rsid w:val="007366EE"/>
    <w:rsid w:val="007371E0"/>
    <w:rsid w:val="007374B1"/>
    <w:rsid w:val="007377E0"/>
    <w:rsid w:val="00740E50"/>
    <w:rsid w:val="00740F2D"/>
    <w:rsid w:val="00741DAD"/>
    <w:rsid w:val="00742442"/>
    <w:rsid w:val="007434E0"/>
    <w:rsid w:val="00743997"/>
    <w:rsid w:val="0074549E"/>
    <w:rsid w:val="007460C6"/>
    <w:rsid w:val="0074715C"/>
    <w:rsid w:val="007471DD"/>
    <w:rsid w:val="00747A08"/>
    <w:rsid w:val="0075243D"/>
    <w:rsid w:val="00752F3C"/>
    <w:rsid w:val="00753352"/>
    <w:rsid w:val="007536E1"/>
    <w:rsid w:val="0075617E"/>
    <w:rsid w:val="007570E5"/>
    <w:rsid w:val="007576FE"/>
    <w:rsid w:val="00757F4D"/>
    <w:rsid w:val="00760CF5"/>
    <w:rsid w:val="00761141"/>
    <w:rsid w:val="0076242C"/>
    <w:rsid w:val="0076380B"/>
    <w:rsid w:val="00764315"/>
    <w:rsid w:val="00765CE6"/>
    <w:rsid w:val="00767339"/>
    <w:rsid w:val="0076768C"/>
    <w:rsid w:val="00767A86"/>
    <w:rsid w:val="007713D2"/>
    <w:rsid w:val="00771D76"/>
    <w:rsid w:val="00772554"/>
    <w:rsid w:val="007726BC"/>
    <w:rsid w:val="00772FA2"/>
    <w:rsid w:val="00774F8B"/>
    <w:rsid w:val="00775C1E"/>
    <w:rsid w:val="00775CDB"/>
    <w:rsid w:val="00780076"/>
    <w:rsid w:val="0078064D"/>
    <w:rsid w:val="00781885"/>
    <w:rsid w:val="00781FBA"/>
    <w:rsid w:val="0078245E"/>
    <w:rsid w:val="0078333F"/>
    <w:rsid w:val="0078354F"/>
    <w:rsid w:val="00785561"/>
    <w:rsid w:val="00786A23"/>
    <w:rsid w:val="00786BB9"/>
    <w:rsid w:val="00790285"/>
    <w:rsid w:val="007924CF"/>
    <w:rsid w:val="00792AA8"/>
    <w:rsid w:val="00792F81"/>
    <w:rsid w:val="00793443"/>
    <w:rsid w:val="0079674E"/>
    <w:rsid w:val="00796D55"/>
    <w:rsid w:val="00797466"/>
    <w:rsid w:val="007976B1"/>
    <w:rsid w:val="007A0620"/>
    <w:rsid w:val="007A190C"/>
    <w:rsid w:val="007A1A27"/>
    <w:rsid w:val="007A1C84"/>
    <w:rsid w:val="007A291D"/>
    <w:rsid w:val="007A34F4"/>
    <w:rsid w:val="007A3B29"/>
    <w:rsid w:val="007A41DC"/>
    <w:rsid w:val="007A532E"/>
    <w:rsid w:val="007A5F36"/>
    <w:rsid w:val="007A652F"/>
    <w:rsid w:val="007A6BA6"/>
    <w:rsid w:val="007A6ED3"/>
    <w:rsid w:val="007B1C67"/>
    <w:rsid w:val="007B1CB9"/>
    <w:rsid w:val="007B2C75"/>
    <w:rsid w:val="007B4729"/>
    <w:rsid w:val="007B53A9"/>
    <w:rsid w:val="007B5528"/>
    <w:rsid w:val="007B59DB"/>
    <w:rsid w:val="007B5F3A"/>
    <w:rsid w:val="007B603C"/>
    <w:rsid w:val="007B6EC1"/>
    <w:rsid w:val="007C16EA"/>
    <w:rsid w:val="007C1CE4"/>
    <w:rsid w:val="007C212D"/>
    <w:rsid w:val="007C482A"/>
    <w:rsid w:val="007C7AB4"/>
    <w:rsid w:val="007D1E10"/>
    <w:rsid w:val="007D2407"/>
    <w:rsid w:val="007D29FF"/>
    <w:rsid w:val="007D2A54"/>
    <w:rsid w:val="007D3487"/>
    <w:rsid w:val="007D3AC7"/>
    <w:rsid w:val="007D4471"/>
    <w:rsid w:val="007D563C"/>
    <w:rsid w:val="007D5EB5"/>
    <w:rsid w:val="007D704C"/>
    <w:rsid w:val="007E04EF"/>
    <w:rsid w:val="007E109E"/>
    <w:rsid w:val="007E1557"/>
    <w:rsid w:val="007E1E9F"/>
    <w:rsid w:val="007E22E0"/>
    <w:rsid w:val="007E2675"/>
    <w:rsid w:val="007E292D"/>
    <w:rsid w:val="007E3F82"/>
    <w:rsid w:val="007E41FA"/>
    <w:rsid w:val="007E42C8"/>
    <w:rsid w:val="007E42D7"/>
    <w:rsid w:val="007E4D3C"/>
    <w:rsid w:val="007E5AE4"/>
    <w:rsid w:val="007E7E6A"/>
    <w:rsid w:val="007F17F4"/>
    <w:rsid w:val="007F1E68"/>
    <w:rsid w:val="007F3FD2"/>
    <w:rsid w:val="007F4A4C"/>
    <w:rsid w:val="007F5D02"/>
    <w:rsid w:val="007F7B1E"/>
    <w:rsid w:val="00800606"/>
    <w:rsid w:val="008025FA"/>
    <w:rsid w:val="008033B4"/>
    <w:rsid w:val="008056CA"/>
    <w:rsid w:val="008063B1"/>
    <w:rsid w:val="00806FC5"/>
    <w:rsid w:val="0080712D"/>
    <w:rsid w:val="00810CEE"/>
    <w:rsid w:val="00811AEF"/>
    <w:rsid w:val="0081233F"/>
    <w:rsid w:val="00812DAC"/>
    <w:rsid w:val="008131B9"/>
    <w:rsid w:val="00814545"/>
    <w:rsid w:val="00816096"/>
    <w:rsid w:val="00816BF4"/>
    <w:rsid w:val="008172D9"/>
    <w:rsid w:val="0081746B"/>
    <w:rsid w:val="00817D14"/>
    <w:rsid w:val="008206D4"/>
    <w:rsid w:val="00823086"/>
    <w:rsid w:val="00823521"/>
    <w:rsid w:val="008236FA"/>
    <w:rsid w:val="00824622"/>
    <w:rsid w:val="008249CF"/>
    <w:rsid w:val="00826109"/>
    <w:rsid w:val="00826F9A"/>
    <w:rsid w:val="008306BD"/>
    <w:rsid w:val="00831146"/>
    <w:rsid w:val="00832070"/>
    <w:rsid w:val="00833008"/>
    <w:rsid w:val="00833827"/>
    <w:rsid w:val="008347EF"/>
    <w:rsid w:val="0083507B"/>
    <w:rsid w:val="00837354"/>
    <w:rsid w:val="00840143"/>
    <w:rsid w:val="008404D9"/>
    <w:rsid w:val="008414B5"/>
    <w:rsid w:val="008430B6"/>
    <w:rsid w:val="00843B77"/>
    <w:rsid w:val="008453C8"/>
    <w:rsid w:val="0084565D"/>
    <w:rsid w:val="008467E7"/>
    <w:rsid w:val="00846B84"/>
    <w:rsid w:val="008507FF"/>
    <w:rsid w:val="00850C35"/>
    <w:rsid w:val="00850E1F"/>
    <w:rsid w:val="00851355"/>
    <w:rsid w:val="00854F75"/>
    <w:rsid w:val="008563C1"/>
    <w:rsid w:val="00857475"/>
    <w:rsid w:val="00857583"/>
    <w:rsid w:val="00860475"/>
    <w:rsid w:val="008605F9"/>
    <w:rsid w:val="00860870"/>
    <w:rsid w:val="008610E8"/>
    <w:rsid w:val="00862C1B"/>
    <w:rsid w:val="00862DED"/>
    <w:rsid w:val="0086363D"/>
    <w:rsid w:val="00864026"/>
    <w:rsid w:val="0086447A"/>
    <w:rsid w:val="00864656"/>
    <w:rsid w:val="00864E75"/>
    <w:rsid w:val="00865AD3"/>
    <w:rsid w:val="008674E1"/>
    <w:rsid w:val="008676B6"/>
    <w:rsid w:val="008702E3"/>
    <w:rsid w:val="0087031F"/>
    <w:rsid w:val="00870BF4"/>
    <w:rsid w:val="00871F75"/>
    <w:rsid w:val="00872597"/>
    <w:rsid w:val="00872832"/>
    <w:rsid w:val="00873E12"/>
    <w:rsid w:val="00873F90"/>
    <w:rsid w:val="00875F59"/>
    <w:rsid w:val="0087684A"/>
    <w:rsid w:val="0087766A"/>
    <w:rsid w:val="00877881"/>
    <w:rsid w:val="008778F5"/>
    <w:rsid w:val="00877D39"/>
    <w:rsid w:val="00880F3E"/>
    <w:rsid w:val="00880F6F"/>
    <w:rsid w:val="00882EF6"/>
    <w:rsid w:val="00883C2F"/>
    <w:rsid w:val="008877F8"/>
    <w:rsid w:val="00887F22"/>
    <w:rsid w:val="00890054"/>
    <w:rsid w:val="0089053F"/>
    <w:rsid w:val="008905DE"/>
    <w:rsid w:val="008917CE"/>
    <w:rsid w:val="008925BC"/>
    <w:rsid w:val="008934FC"/>
    <w:rsid w:val="00894EFE"/>
    <w:rsid w:val="00894FEA"/>
    <w:rsid w:val="00895610"/>
    <w:rsid w:val="008960B9"/>
    <w:rsid w:val="008961BB"/>
    <w:rsid w:val="00897796"/>
    <w:rsid w:val="008A02FF"/>
    <w:rsid w:val="008A104E"/>
    <w:rsid w:val="008A3029"/>
    <w:rsid w:val="008A3F95"/>
    <w:rsid w:val="008A3FA8"/>
    <w:rsid w:val="008A4CE9"/>
    <w:rsid w:val="008A524E"/>
    <w:rsid w:val="008A59CA"/>
    <w:rsid w:val="008A5D64"/>
    <w:rsid w:val="008A5F19"/>
    <w:rsid w:val="008B010D"/>
    <w:rsid w:val="008B0D60"/>
    <w:rsid w:val="008B0FF6"/>
    <w:rsid w:val="008B2DF2"/>
    <w:rsid w:val="008B31D6"/>
    <w:rsid w:val="008B406E"/>
    <w:rsid w:val="008B4382"/>
    <w:rsid w:val="008B4BCE"/>
    <w:rsid w:val="008B69B3"/>
    <w:rsid w:val="008B6B90"/>
    <w:rsid w:val="008B700A"/>
    <w:rsid w:val="008B7455"/>
    <w:rsid w:val="008B74BC"/>
    <w:rsid w:val="008C052A"/>
    <w:rsid w:val="008C0BF1"/>
    <w:rsid w:val="008C13E7"/>
    <w:rsid w:val="008C33A7"/>
    <w:rsid w:val="008C3702"/>
    <w:rsid w:val="008C3E42"/>
    <w:rsid w:val="008C51D8"/>
    <w:rsid w:val="008C572C"/>
    <w:rsid w:val="008C5864"/>
    <w:rsid w:val="008C6171"/>
    <w:rsid w:val="008C66F3"/>
    <w:rsid w:val="008D2FAF"/>
    <w:rsid w:val="008D2FEB"/>
    <w:rsid w:val="008D3238"/>
    <w:rsid w:val="008D4858"/>
    <w:rsid w:val="008D49FE"/>
    <w:rsid w:val="008D5046"/>
    <w:rsid w:val="008D7124"/>
    <w:rsid w:val="008E3A8C"/>
    <w:rsid w:val="008E3B2A"/>
    <w:rsid w:val="008E3BF5"/>
    <w:rsid w:val="008E3F2F"/>
    <w:rsid w:val="008E567B"/>
    <w:rsid w:val="008E6060"/>
    <w:rsid w:val="008E7E85"/>
    <w:rsid w:val="008F1CF3"/>
    <w:rsid w:val="008F249E"/>
    <w:rsid w:val="008F279F"/>
    <w:rsid w:val="008F43C6"/>
    <w:rsid w:val="008F4437"/>
    <w:rsid w:val="008F4E62"/>
    <w:rsid w:val="008F5A4B"/>
    <w:rsid w:val="008F6C44"/>
    <w:rsid w:val="008F6F32"/>
    <w:rsid w:val="00901443"/>
    <w:rsid w:val="00901D5C"/>
    <w:rsid w:val="009025BF"/>
    <w:rsid w:val="00902655"/>
    <w:rsid w:val="00902EAF"/>
    <w:rsid w:val="00903C7B"/>
    <w:rsid w:val="00904871"/>
    <w:rsid w:val="00904D55"/>
    <w:rsid w:val="009066C8"/>
    <w:rsid w:val="009078B7"/>
    <w:rsid w:val="0091100B"/>
    <w:rsid w:val="009119DC"/>
    <w:rsid w:val="0091307F"/>
    <w:rsid w:val="0091337D"/>
    <w:rsid w:val="009135CE"/>
    <w:rsid w:val="009136B0"/>
    <w:rsid w:val="009149FB"/>
    <w:rsid w:val="009150E5"/>
    <w:rsid w:val="0091550C"/>
    <w:rsid w:val="0091562C"/>
    <w:rsid w:val="009161C0"/>
    <w:rsid w:val="0091728B"/>
    <w:rsid w:val="00917715"/>
    <w:rsid w:val="00917B15"/>
    <w:rsid w:val="0092074F"/>
    <w:rsid w:val="00920FAD"/>
    <w:rsid w:val="009221D0"/>
    <w:rsid w:val="00922CDA"/>
    <w:rsid w:val="00923616"/>
    <w:rsid w:val="0092471A"/>
    <w:rsid w:val="00925E37"/>
    <w:rsid w:val="009265C2"/>
    <w:rsid w:val="00927CB2"/>
    <w:rsid w:val="00930DC7"/>
    <w:rsid w:val="00931FD0"/>
    <w:rsid w:val="00933019"/>
    <w:rsid w:val="00934E99"/>
    <w:rsid w:val="00935151"/>
    <w:rsid w:val="00935776"/>
    <w:rsid w:val="00936771"/>
    <w:rsid w:val="009372FC"/>
    <w:rsid w:val="009403CD"/>
    <w:rsid w:val="00940957"/>
    <w:rsid w:val="00942DA4"/>
    <w:rsid w:val="009430CF"/>
    <w:rsid w:val="00944AA2"/>
    <w:rsid w:val="00945691"/>
    <w:rsid w:val="00945759"/>
    <w:rsid w:val="0094600F"/>
    <w:rsid w:val="009477C6"/>
    <w:rsid w:val="00952B7C"/>
    <w:rsid w:val="00954D8E"/>
    <w:rsid w:val="00955DA4"/>
    <w:rsid w:val="00956106"/>
    <w:rsid w:val="00956CF5"/>
    <w:rsid w:val="009570DA"/>
    <w:rsid w:val="009621CD"/>
    <w:rsid w:val="00963855"/>
    <w:rsid w:val="009641CD"/>
    <w:rsid w:val="00964ADF"/>
    <w:rsid w:val="00965002"/>
    <w:rsid w:val="00965217"/>
    <w:rsid w:val="0096572B"/>
    <w:rsid w:val="00965DF0"/>
    <w:rsid w:val="0096753E"/>
    <w:rsid w:val="0097012B"/>
    <w:rsid w:val="0097172B"/>
    <w:rsid w:val="00971ADA"/>
    <w:rsid w:val="00973CD1"/>
    <w:rsid w:val="009764B9"/>
    <w:rsid w:val="00976E23"/>
    <w:rsid w:val="00980307"/>
    <w:rsid w:val="00980ECC"/>
    <w:rsid w:val="009813AC"/>
    <w:rsid w:val="009820A5"/>
    <w:rsid w:val="0098433C"/>
    <w:rsid w:val="00984505"/>
    <w:rsid w:val="00984B77"/>
    <w:rsid w:val="00985761"/>
    <w:rsid w:val="00985DE7"/>
    <w:rsid w:val="00985E82"/>
    <w:rsid w:val="00986530"/>
    <w:rsid w:val="009870BB"/>
    <w:rsid w:val="00987189"/>
    <w:rsid w:val="00990041"/>
    <w:rsid w:val="00990909"/>
    <w:rsid w:val="00991936"/>
    <w:rsid w:val="009951BB"/>
    <w:rsid w:val="0099582F"/>
    <w:rsid w:val="00995A9D"/>
    <w:rsid w:val="00997381"/>
    <w:rsid w:val="009A05F4"/>
    <w:rsid w:val="009A1770"/>
    <w:rsid w:val="009A25B2"/>
    <w:rsid w:val="009A3632"/>
    <w:rsid w:val="009A36C3"/>
    <w:rsid w:val="009A3CBA"/>
    <w:rsid w:val="009A54FF"/>
    <w:rsid w:val="009A610D"/>
    <w:rsid w:val="009B01DA"/>
    <w:rsid w:val="009B0687"/>
    <w:rsid w:val="009B0888"/>
    <w:rsid w:val="009B089B"/>
    <w:rsid w:val="009B1A10"/>
    <w:rsid w:val="009B27CB"/>
    <w:rsid w:val="009B2C1B"/>
    <w:rsid w:val="009B46DA"/>
    <w:rsid w:val="009B4AA9"/>
    <w:rsid w:val="009B5960"/>
    <w:rsid w:val="009B5B11"/>
    <w:rsid w:val="009B5B71"/>
    <w:rsid w:val="009B694E"/>
    <w:rsid w:val="009B7564"/>
    <w:rsid w:val="009C061B"/>
    <w:rsid w:val="009C0733"/>
    <w:rsid w:val="009C1194"/>
    <w:rsid w:val="009C202F"/>
    <w:rsid w:val="009C35CD"/>
    <w:rsid w:val="009C395D"/>
    <w:rsid w:val="009C4C81"/>
    <w:rsid w:val="009C57FB"/>
    <w:rsid w:val="009C62FE"/>
    <w:rsid w:val="009C6365"/>
    <w:rsid w:val="009C6FD3"/>
    <w:rsid w:val="009D1D85"/>
    <w:rsid w:val="009D3363"/>
    <w:rsid w:val="009D3F89"/>
    <w:rsid w:val="009D52FA"/>
    <w:rsid w:val="009D53CE"/>
    <w:rsid w:val="009D63A7"/>
    <w:rsid w:val="009D63FF"/>
    <w:rsid w:val="009D6A7C"/>
    <w:rsid w:val="009D7777"/>
    <w:rsid w:val="009D7F8D"/>
    <w:rsid w:val="009E020C"/>
    <w:rsid w:val="009E039C"/>
    <w:rsid w:val="009E0E67"/>
    <w:rsid w:val="009E100C"/>
    <w:rsid w:val="009E164E"/>
    <w:rsid w:val="009E2C7B"/>
    <w:rsid w:val="009E3306"/>
    <w:rsid w:val="009E3455"/>
    <w:rsid w:val="009E423B"/>
    <w:rsid w:val="009E5E42"/>
    <w:rsid w:val="009E63FB"/>
    <w:rsid w:val="009E6C85"/>
    <w:rsid w:val="009E6FA8"/>
    <w:rsid w:val="009F0A0C"/>
    <w:rsid w:val="009F1726"/>
    <w:rsid w:val="009F2040"/>
    <w:rsid w:val="009F2C47"/>
    <w:rsid w:val="009F3330"/>
    <w:rsid w:val="009F334C"/>
    <w:rsid w:val="009F3C55"/>
    <w:rsid w:val="009F4F34"/>
    <w:rsid w:val="009F73FF"/>
    <w:rsid w:val="009F7B09"/>
    <w:rsid w:val="009F7EFA"/>
    <w:rsid w:val="00A0124D"/>
    <w:rsid w:val="00A02D91"/>
    <w:rsid w:val="00A0354A"/>
    <w:rsid w:val="00A03B47"/>
    <w:rsid w:val="00A03B77"/>
    <w:rsid w:val="00A06500"/>
    <w:rsid w:val="00A06CAD"/>
    <w:rsid w:val="00A12427"/>
    <w:rsid w:val="00A12B5E"/>
    <w:rsid w:val="00A13D93"/>
    <w:rsid w:val="00A14843"/>
    <w:rsid w:val="00A15133"/>
    <w:rsid w:val="00A172CA"/>
    <w:rsid w:val="00A17893"/>
    <w:rsid w:val="00A17D92"/>
    <w:rsid w:val="00A20CB4"/>
    <w:rsid w:val="00A20E5D"/>
    <w:rsid w:val="00A20F49"/>
    <w:rsid w:val="00A2117B"/>
    <w:rsid w:val="00A216A3"/>
    <w:rsid w:val="00A23390"/>
    <w:rsid w:val="00A23531"/>
    <w:rsid w:val="00A24CBE"/>
    <w:rsid w:val="00A24E59"/>
    <w:rsid w:val="00A25609"/>
    <w:rsid w:val="00A27263"/>
    <w:rsid w:val="00A30552"/>
    <w:rsid w:val="00A307F4"/>
    <w:rsid w:val="00A30D81"/>
    <w:rsid w:val="00A33EEE"/>
    <w:rsid w:val="00A37A4D"/>
    <w:rsid w:val="00A40379"/>
    <w:rsid w:val="00A404CD"/>
    <w:rsid w:val="00A409E3"/>
    <w:rsid w:val="00A414C0"/>
    <w:rsid w:val="00A431D6"/>
    <w:rsid w:val="00A43B9C"/>
    <w:rsid w:val="00A44DE6"/>
    <w:rsid w:val="00A44FC4"/>
    <w:rsid w:val="00A45A12"/>
    <w:rsid w:val="00A46751"/>
    <w:rsid w:val="00A46D13"/>
    <w:rsid w:val="00A47AAE"/>
    <w:rsid w:val="00A50277"/>
    <w:rsid w:val="00A51DC7"/>
    <w:rsid w:val="00A52363"/>
    <w:rsid w:val="00A52F1F"/>
    <w:rsid w:val="00A54451"/>
    <w:rsid w:val="00A55895"/>
    <w:rsid w:val="00A560B0"/>
    <w:rsid w:val="00A56D57"/>
    <w:rsid w:val="00A576D1"/>
    <w:rsid w:val="00A6168C"/>
    <w:rsid w:val="00A621E6"/>
    <w:rsid w:val="00A635A1"/>
    <w:rsid w:val="00A64DA6"/>
    <w:rsid w:val="00A65AEC"/>
    <w:rsid w:val="00A65ECE"/>
    <w:rsid w:val="00A66BF3"/>
    <w:rsid w:val="00A6726D"/>
    <w:rsid w:val="00A71552"/>
    <w:rsid w:val="00A718C8"/>
    <w:rsid w:val="00A7487F"/>
    <w:rsid w:val="00A74E38"/>
    <w:rsid w:val="00A7560F"/>
    <w:rsid w:val="00A76F9B"/>
    <w:rsid w:val="00A81677"/>
    <w:rsid w:val="00A8228E"/>
    <w:rsid w:val="00A83B23"/>
    <w:rsid w:val="00A87088"/>
    <w:rsid w:val="00A901BA"/>
    <w:rsid w:val="00A92164"/>
    <w:rsid w:val="00A92949"/>
    <w:rsid w:val="00A92BA2"/>
    <w:rsid w:val="00A93177"/>
    <w:rsid w:val="00A9358E"/>
    <w:rsid w:val="00A942AF"/>
    <w:rsid w:val="00A9542A"/>
    <w:rsid w:val="00A958A9"/>
    <w:rsid w:val="00A961DC"/>
    <w:rsid w:val="00A97649"/>
    <w:rsid w:val="00A976C9"/>
    <w:rsid w:val="00AA0911"/>
    <w:rsid w:val="00AA09F3"/>
    <w:rsid w:val="00AA0E47"/>
    <w:rsid w:val="00AA19D1"/>
    <w:rsid w:val="00AA25D9"/>
    <w:rsid w:val="00AA2752"/>
    <w:rsid w:val="00AA3E49"/>
    <w:rsid w:val="00AA3F77"/>
    <w:rsid w:val="00AA6206"/>
    <w:rsid w:val="00AA6917"/>
    <w:rsid w:val="00AB070C"/>
    <w:rsid w:val="00AB098F"/>
    <w:rsid w:val="00AB21FB"/>
    <w:rsid w:val="00AB2207"/>
    <w:rsid w:val="00AB35CF"/>
    <w:rsid w:val="00AB43C2"/>
    <w:rsid w:val="00AB449D"/>
    <w:rsid w:val="00AB46D9"/>
    <w:rsid w:val="00AB48E7"/>
    <w:rsid w:val="00AB4EAA"/>
    <w:rsid w:val="00AB6492"/>
    <w:rsid w:val="00AC15DE"/>
    <w:rsid w:val="00AC2C8A"/>
    <w:rsid w:val="00AC2DE2"/>
    <w:rsid w:val="00AC3A04"/>
    <w:rsid w:val="00AC4F44"/>
    <w:rsid w:val="00AC542C"/>
    <w:rsid w:val="00AC6A36"/>
    <w:rsid w:val="00AC6FBC"/>
    <w:rsid w:val="00AC7217"/>
    <w:rsid w:val="00AC7916"/>
    <w:rsid w:val="00AC7F82"/>
    <w:rsid w:val="00AD085D"/>
    <w:rsid w:val="00AD10E8"/>
    <w:rsid w:val="00AD132A"/>
    <w:rsid w:val="00AD1D56"/>
    <w:rsid w:val="00AD2752"/>
    <w:rsid w:val="00AD2B1D"/>
    <w:rsid w:val="00AD51B2"/>
    <w:rsid w:val="00AD6511"/>
    <w:rsid w:val="00AD6E02"/>
    <w:rsid w:val="00AD76B7"/>
    <w:rsid w:val="00AE023A"/>
    <w:rsid w:val="00AE04D7"/>
    <w:rsid w:val="00AE0D82"/>
    <w:rsid w:val="00AE1801"/>
    <w:rsid w:val="00AE192D"/>
    <w:rsid w:val="00AE214D"/>
    <w:rsid w:val="00AE22EA"/>
    <w:rsid w:val="00AE2610"/>
    <w:rsid w:val="00AE2F26"/>
    <w:rsid w:val="00AE4157"/>
    <w:rsid w:val="00AE41EB"/>
    <w:rsid w:val="00AE48DD"/>
    <w:rsid w:val="00AE4962"/>
    <w:rsid w:val="00AE5B64"/>
    <w:rsid w:val="00AE61CC"/>
    <w:rsid w:val="00AE6AA0"/>
    <w:rsid w:val="00AE6C5A"/>
    <w:rsid w:val="00AE6CDC"/>
    <w:rsid w:val="00AF01DD"/>
    <w:rsid w:val="00AF1DBA"/>
    <w:rsid w:val="00AF225E"/>
    <w:rsid w:val="00AF3481"/>
    <w:rsid w:val="00AF4B35"/>
    <w:rsid w:val="00AF4DAF"/>
    <w:rsid w:val="00AF4F1B"/>
    <w:rsid w:val="00AF51E6"/>
    <w:rsid w:val="00AF586A"/>
    <w:rsid w:val="00AF6EC9"/>
    <w:rsid w:val="00B00159"/>
    <w:rsid w:val="00B00518"/>
    <w:rsid w:val="00B027A8"/>
    <w:rsid w:val="00B029CC"/>
    <w:rsid w:val="00B03339"/>
    <w:rsid w:val="00B036F6"/>
    <w:rsid w:val="00B04A9C"/>
    <w:rsid w:val="00B060BB"/>
    <w:rsid w:val="00B066C0"/>
    <w:rsid w:val="00B06B2C"/>
    <w:rsid w:val="00B0766E"/>
    <w:rsid w:val="00B109C1"/>
    <w:rsid w:val="00B13A15"/>
    <w:rsid w:val="00B144A2"/>
    <w:rsid w:val="00B15333"/>
    <w:rsid w:val="00B15528"/>
    <w:rsid w:val="00B15783"/>
    <w:rsid w:val="00B15D72"/>
    <w:rsid w:val="00B15E2C"/>
    <w:rsid w:val="00B1714B"/>
    <w:rsid w:val="00B207F6"/>
    <w:rsid w:val="00B22C19"/>
    <w:rsid w:val="00B232DB"/>
    <w:rsid w:val="00B235CF"/>
    <w:rsid w:val="00B240B5"/>
    <w:rsid w:val="00B24651"/>
    <w:rsid w:val="00B25399"/>
    <w:rsid w:val="00B253CA"/>
    <w:rsid w:val="00B25C33"/>
    <w:rsid w:val="00B25E8A"/>
    <w:rsid w:val="00B27C65"/>
    <w:rsid w:val="00B30BC2"/>
    <w:rsid w:val="00B30EE2"/>
    <w:rsid w:val="00B31B26"/>
    <w:rsid w:val="00B31B9F"/>
    <w:rsid w:val="00B32D68"/>
    <w:rsid w:val="00B32E60"/>
    <w:rsid w:val="00B3318F"/>
    <w:rsid w:val="00B3321D"/>
    <w:rsid w:val="00B348D0"/>
    <w:rsid w:val="00B348ED"/>
    <w:rsid w:val="00B41640"/>
    <w:rsid w:val="00B42224"/>
    <w:rsid w:val="00B42AB4"/>
    <w:rsid w:val="00B43CB2"/>
    <w:rsid w:val="00B509DE"/>
    <w:rsid w:val="00B5282F"/>
    <w:rsid w:val="00B53005"/>
    <w:rsid w:val="00B56349"/>
    <w:rsid w:val="00B56E6C"/>
    <w:rsid w:val="00B60E8B"/>
    <w:rsid w:val="00B61380"/>
    <w:rsid w:val="00B63B2C"/>
    <w:rsid w:val="00B63FDA"/>
    <w:rsid w:val="00B64CAE"/>
    <w:rsid w:val="00B6627F"/>
    <w:rsid w:val="00B666F9"/>
    <w:rsid w:val="00B669FC"/>
    <w:rsid w:val="00B66B6C"/>
    <w:rsid w:val="00B67C36"/>
    <w:rsid w:val="00B70211"/>
    <w:rsid w:val="00B70526"/>
    <w:rsid w:val="00B70CA5"/>
    <w:rsid w:val="00B712E9"/>
    <w:rsid w:val="00B7142B"/>
    <w:rsid w:val="00B71B4D"/>
    <w:rsid w:val="00B736ED"/>
    <w:rsid w:val="00B73B82"/>
    <w:rsid w:val="00B74078"/>
    <w:rsid w:val="00B75D05"/>
    <w:rsid w:val="00B775BD"/>
    <w:rsid w:val="00B77827"/>
    <w:rsid w:val="00B779D0"/>
    <w:rsid w:val="00B77A5C"/>
    <w:rsid w:val="00B77DB4"/>
    <w:rsid w:val="00B81854"/>
    <w:rsid w:val="00B82616"/>
    <w:rsid w:val="00B827DC"/>
    <w:rsid w:val="00B82A4A"/>
    <w:rsid w:val="00B830F4"/>
    <w:rsid w:val="00B834BE"/>
    <w:rsid w:val="00B839A6"/>
    <w:rsid w:val="00B841F1"/>
    <w:rsid w:val="00B85C0A"/>
    <w:rsid w:val="00B86247"/>
    <w:rsid w:val="00B864DA"/>
    <w:rsid w:val="00B90BBD"/>
    <w:rsid w:val="00B90D82"/>
    <w:rsid w:val="00B91307"/>
    <w:rsid w:val="00B917CD"/>
    <w:rsid w:val="00B91DC0"/>
    <w:rsid w:val="00B92240"/>
    <w:rsid w:val="00B92492"/>
    <w:rsid w:val="00B927D6"/>
    <w:rsid w:val="00B936C8"/>
    <w:rsid w:val="00B9393D"/>
    <w:rsid w:val="00B94668"/>
    <w:rsid w:val="00B952C0"/>
    <w:rsid w:val="00B95839"/>
    <w:rsid w:val="00B9585E"/>
    <w:rsid w:val="00B958BF"/>
    <w:rsid w:val="00B9606F"/>
    <w:rsid w:val="00B96FBE"/>
    <w:rsid w:val="00B9713C"/>
    <w:rsid w:val="00BA029D"/>
    <w:rsid w:val="00BA079B"/>
    <w:rsid w:val="00BA2123"/>
    <w:rsid w:val="00BA2904"/>
    <w:rsid w:val="00BA3B14"/>
    <w:rsid w:val="00BA6130"/>
    <w:rsid w:val="00BA6185"/>
    <w:rsid w:val="00BA6D9F"/>
    <w:rsid w:val="00BA79E1"/>
    <w:rsid w:val="00BB150C"/>
    <w:rsid w:val="00BB1C38"/>
    <w:rsid w:val="00BB1C78"/>
    <w:rsid w:val="00BB2125"/>
    <w:rsid w:val="00BB2607"/>
    <w:rsid w:val="00BB3B9B"/>
    <w:rsid w:val="00BB4256"/>
    <w:rsid w:val="00BB54FE"/>
    <w:rsid w:val="00BB7C29"/>
    <w:rsid w:val="00BC0A02"/>
    <w:rsid w:val="00BC0FE6"/>
    <w:rsid w:val="00BC2B0B"/>
    <w:rsid w:val="00BC3E6F"/>
    <w:rsid w:val="00BC4C2C"/>
    <w:rsid w:val="00BC7D56"/>
    <w:rsid w:val="00BD0B64"/>
    <w:rsid w:val="00BD17B5"/>
    <w:rsid w:val="00BD1D01"/>
    <w:rsid w:val="00BD3F9B"/>
    <w:rsid w:val="00BD43F5"/>
    <w:rsid w:val="00BD534C"/>
    <w:rsid w:val="00BD5FAA"/>
    <w:rsid w:val="00BD70BE"/>
    <w:rsid w:val="00BD792F"/>
    <w:rsid w:val="00BD7F79"/>
    <w:rsid w:val="00BE096F"/>
    <w:rsid w:val="00BE3C0D"/>
    <w:rsid w:val="00BE4476"/>
    <w:rsid w:val="00BE4800"/>
    <w:rsid w:val="00BF02D1"/>
    <w:rsid w:val="00BF02E4"/>
    <w:rsid w:val="00BF138A"/>
    <w:rsid w:val="00BF21CA"/>
    <w:rsid w:val="00BF37B0"/>
    <w:rsid w:val="00BF3E08"/>
    <w:rsid w:val="00BF408C"/>
    <w:rsid w:val="00BF41C4"/>
    <w:rsid w:val="00BF4A09"/>
    <w:rsid w:val="00BF6015"/>
    <w:rsid w:val="00BF6680"/>
    <w:rsid w:val="00BF7616"/>
    <w:rsid w:val="00C010DB"/>
    <w:rsid w:val="00C03BEC"/>
    <w:rsid w:val="00C054E7"/>
    <w:rsid w:val="00C067FE"/>
    <w:rsid w:val="00C06E0C"/>
    <w:rsid w:val="00C117A0"/>
    <w:rsid w:val="00C121D9"/>
    <w:rsid w:val="00C12E9E"/>
    <w:rsid w:val="00C13E53"/>
    <w:rsid w:val="00C14034"/>
    <w:rsid w:val="00C14D0B"/>
    <w:rsid w:val="00C15FBB"/>
    <w:rsid w:val="00C22595"/>
    <w:rsid w:val="00C23FD0"/>
    <w:rsid w:val="00C24AC3"/>
    <w:rsid w:val="00C26DEA"/>
    <w:rsid w:val="00C27587"/>
    <w:rsid w:val="00C3088E"/>
    <w:rsid w:val="00C34417"/>
    <w:rsid w:val="00C34684"/>
    <w:rsid w:val="00C35CAF"/>
    <w:rsid w:val="00C36FDB"/>
    <w:rsid w:val="00C3723C"/>
    <w:rsid w:val="00C401C4"/>
    <w:rsid w:val="00C405D9"/>
    <w:rsid w:val="00C40D30"/>
    <w:rsid w:val="00C40FCD"/>
    <w:rsid w:val="00C41142"/>
    <w:rsid w:val="00C41C8A"/>
    <w:rsid w:val="00C42E5D"/>
    <w:rsid w:val="00C4312A"/>
    <w:rsid w:val="00C4361C"/>
    <w:rsid w:val="00C437C4"/>
    <w:rsid w:val="00C44468"/>
    <w:rsid w:val="00C44902"/>
    <w:rsid w:val="00C459EA"/>
    <w:rsid w:val="00C45B97"/>
    <w:rsid w:val="00C46450"/>
    <w:rsid w:val="00C466FF"/>
    <w:rsid w:val="00C533BE"/>
    <w:rsid w:val="00C536D2"/>
    <w:rsid w:val="00C55695"/>
    <w:rsid w:val="00C57187"/>
    <w:rsid w:val="00C57A05"/>
    <w:rsid w:val="00C60543"/>
    <w:rsid w:val="00C63934"/>
    <w:rsid w:val="00C6460F"/>
    <w:rsid w:val="00C6533F"/>
    <w:rsid w:val="00C65478"/>
    <w:rsid w:val="00C66AD6"/>
    <w:rsid w:val="00C67549"/>
    <w:rsid w:val="00C67574"/>
    <w:rsid w:val="00C7183F"/>
    <w:rsid w:val="00C72305"/>
    <w:rsid w:val="00C733A1"/>
    <w:rsid w:val="00C73540"/>
    <w:rsid w:val="00C73CA0"/>
    <w:rsid w:val="00C73F1A"/>
    <w:rsid w:val="00C74031"/>
    <w:rsid w:val="00C742C0"/>
    <w:rsid w:val="00C7507A"/>
    <w:rsid w:val="00C75301"/>
    <w:rsid w:val="00C7616A"/>
    <w:rsid w:val="00C76549"/>
    <w:rsid w:val="00C77C97"/>
    <w:rsid w:val="00C80B65"/>
    <w:rsid w:val="00C81659"/>
    <w:rsid w:val="00C84858"/>
    <w:rsid w:val="00C84CD1"/>
    <w:rsid w:val="00C84DE9"/>
    <w:rsid w:val="00C850F9"/>
    <w:rsid w:val="00C85553"/>
    <w:rsid w:val="00C866A8"/>
    <w:rsid w:val="00C90455"/>
    <w:rsid w:val="00C9052D"/>
    <w:rsid w:val="00C92070"/>
    <w:rsid w:val="00C92092"/>
    <w:rsid w:val="00C92B33"/>
    <w:rsid w:val="00C92EF3"/>
    <w:rsid w:val="00C93F85"/>
    <w:rsid w:val="00C955FD"/>
    <w:rsid w:val="00C96837"/>
    <w:rsid w:val="00C97CE6"/>
    <w:rsid w:val="00C97D5C"/>
    <w:rsid w:val="00CA101F"/>
    <w:rsid w:val="00CA2351"/>
    <w:rsid w:val="00CA379D"/>
    <w:rsid w:val="00CA4B79"/>
    <w:rsid w:val="00CA5032"/>
    <w:rsid w:val="00CA51D2"/>
    <w:rsid w:val="00CA5BF6"/>
    <w:rsid w:val="00CA60C7"/>
    <w:rsid w:val="00CA61BD"/>
    <w:rsid w:val="00CA6DC6"/>
    <w:rsid w:val="00CB029D"/>
    <w:rsid w:val="00CB184C"/>
    <w:rsid w:val="00CB18AE"/>
    <w:rsid w:val="00CB18C3"/>
    <w:rsid w:val="00CB1CCB"/>
    <w:rsid w:val="00CB2D24"/>
    <w:rsid w:val="00CB3553"/>
    <w:rsid w:val="00CB3A81"/>
    <w:rsid w:val="00CB4566"/>
    <w:rsid w:val="00CB5802"/>
    <w:rsid w:val="00CB6C43"/>
    <w:rsid w:val="00CB776B"/>
    <w:rsid w:val="00CC1352"/>
    <w:rsid w:val="00CC14B3"/>
    <w:rsid w:val="00CC1646"/>
    <w:rsid w:val="00CC2693"/>
    <w:rsid w:val="00CC2BC7"/>
    <w:rsid w:val="00CC372C"/>
    <w:rsid w:val="00CC37E3"/>
    <w:rsid w:val="00CC3A30"/>
    <w:rsid w:val="00CC4F3E"/>
    <w:rsid w:val="00CC5073"/>
    <w:rsid w:val="00CC71DC"/>
    <w:rsid w:val="00CD18E7"/>
    <w:rsid w:val="00CD2565"/>
    <w:rsid w:val="00CD4279"/>
    <w:rsid w:val="00CD4AA9"/>
    <w:rsid w:val="00CD4D96"/>
    <w:rsid w:val="00CD4E66"/>
    <w:rsid w:val="00CD6680"/>
    <w:rsid w:val="00CD6E3C"/>
    <w:rsid w:val="00CD72A0"/>
    <w:rsid w:val="00CE04BD"/>
    <w:rsid w:val="00CE07A2"/>
    <w:rsid w:val="00CE3651"/>
    <w:rsid w:val="00CE3CCC"/>
    <w:rsid w:val="00CE3E77"/>
    <w:rsid w:val="00CE446E"/>
    <w:rsid w:val="00CE4FB8"/>
    <w:rsid w:val="00CE5210"/>
    <w:rsid w:val="00CE523D"/>
    <w:rsid w:val="00CE5907"/>
    <w:rsid w:val="00CE5E63"/>
    <w:rsid w:val="00CE70C8"/>
    <w:rsid w:val="00CE7F95"/>
    <w:rsid w:val="00CF0B34"/>
    <w:rsid w:val="00CF18B5"/>
    <w:rsid w:val="00CF2872"/>
    <w:rsid w:val="00CF3832"/>
    <w:rsid w:val="00CF5276"/>
    <w:rsid w:val="00CF5EC2"/>
    <w:rsid w:val="00CF6770"/>
    <w:rsid w:val="00CF7B51"/>
    <w:rsid w:val="00D015C8"/>
    <w:rsid w:val="00D01C9F"/>
    <w:rsid w:val="00D030F7"/>
    <w:rsid w:val="00D03A9E"/>
    <w:rsid w:val="00D03B09"/>
    <w:rsid w:val="00D03C49"/>
    <w:rsid w:val="00D040D6"/>
    <w:rsid w:val="00D0423E"/>
    <w:rsid w:val="00D049D5"/>
    <w:rsid w:val="00D06DFF"/>
    <w:rsid w:val="00D072F6"/>
    <w:rsid w:val="00D101A0"/>
    <w:rsid w:val="00D118EF"/>
    <w:rsid w:val="00D11AF4"/>
    <w:rsid w:val="00D12993"/>
    <w:rsid w:val="00D13669"/>
    <w:rsid w:val="00D13B2E"/>
    <w:rsid w:val="00D13BC8"/>
    <w:rsid w:val="00D14A3B"/>
    <w:rsid w:val="00D14F86"/>
    <w:rsid w:val="00D1589D"/>
    <w:rsid w:val="00D16788"/>
    <w:rsid w:val="00D21566"/>
    <w:rsid w:val="00D22C8A"/>
    <w:rsid w:val="00D22F6B"/>
    <w:rsid w:val="00D232B1"/>
    <w:rsid w:val="00D24047"/>
    <w:rsid w:val="00D26923"/>
    <w:rsid w:val="00D3099C"/>
    <w:rsid w:val="00D336FA"/>
    <w:rsid w:val="00D34609"/>
    <w:rsid w:val="00D354C9"/>
    <w:rsid w:val="00D37D46"/>
    <w:rsid w:val="00D404B1"/>
    <w:rsid w:val="00D40656"/>
    <w:rsid w:val="00D40DFE"/>
    <w:rsid w:val="00D4288F"/>
    <w:rsid w:val="00D43530"/>
    <w:rsid w:val="00D443BF"/>
    <w:rsid w:val="00D468C6"/>
    <w:rsid w:val="00D469A9"/>
    <w:rsid w:val="00D46FEB"/>
    <w:rsid w:val="00D47F98"/>
    <w:rsid w:val="00D5234F"/>
    <w:rsid w:val="00D52C32"/>
    <w:rsid w:val="00D53BE7"/>
    <w:rsid w:val="00D547FC"/>
    <w:rsid w:val="00D55739"/>
    <w:rsid w:val="00D55DE5"/>
    <w:rsid w:val="00D56D58"/>
    <w:rsid w:val="00D61241"/>
    <w:rsid w:val="00D61592"/>
    <w:rsid w:val="00D61666"/>
    <w:rsid w:val="00D61F34"/>
    <w:rsid w:val="00D6392C"/>
    <w:rsid w:val="00D63C0C"/>
    <w:rsid w:val="00D63FD3"/>
    <w:rsid w:val="00D661DF"/>
    <w:rsid w:val="00D66870"/>
    <w:rsid w:val="00D6747A"/>
    <w:rsid w:val="00D67A77"/>
    <w:rsid w:val="00D67D2F"/>
    <w:rsid w:val="00D7049C"/>
    <w:rsid w:val="00D7153F"/>
    <w:rsid w:val="00D716BF"/>
    <w:rsid w:val="00D71ADA"/>
    <w:rsid w:val="00D729B7"/>
    <w:rsid w:val="00D74228"/>
    <w:rsid w:val="00D76753"/>
    <w:rsid w:val="00D77034"/>
    <w:rsid w:val="00D8079C"/>
    <w:rsid w:val="00D80FF2"/>
    <w:rsid w:val="00D82B92"/>
    <w:rsid w:val="00D82EFE"/>
    <w:rsid w:val="00D82F3D"/>
    <w:rsid w:val="00D83AA4"/>
    <w:rsid w:val="00D844C6"/>
    <w:rsid w:val="00D85341"/>
    <w:rsid w:val="00D853BB"/>
    <w:rsid w:val="00D861BD"/>
    <w:rsid w:val="00D861E5"/>
    <w:rsid w:val="00D865C1"/>
    <w:rsid w:val="00D90236"/>
    <w:rsid w:val="00D90242"/>
    <w:rsid w:val="00D90560"/>
    <w:rsid w:val="00D93600"/>
    <w:rsid w:val="00D947C0"/>
    <w:rsid w:val="00D972E1"/>
    <w:rsid w:val="00DA0A7F"/>
    <w:rsid w:val="00DA141D"/>
    <w:rsid w:val="00DA14DC"/>
    <w:rsid w:val="00DA222B"/>
    <w:rsid w:val="00DA2786"/>
    <w:rsid w:val="00DA402F"/>
    <w:rsid w:val="00DA54C9"/>
    <w:rsid w:val="00DA5A89"/>
    <w:rsid w:val="00DA6558"/>
    <w:rsid w:val="00DB06A0"/>
    <w:rsid w:val="00DB0AEA"/>
    <w:rsid w:val="00DB1FA9"/>
    <w:rsid w:val="00DB27F2"/>
    <w:rsid w:val="00DB2CE6"/>
    <w:rsid w:val="00DB3F3A"/>
    <w:rsid w:val="00DB4558"/>
    <w:rsid w:val="00DB52BA"/>
    <w:rsid w:val="00DB7A4C"/>
    <w:rsid w:val="00DC0D7D"/>
    <w:rsid w:val="00DC27FE"/>
    <w:rsid w:val="00DC2C7D"/>
    <w:rsid w:val="00DC5327"/>
    <w:rsid w:val="00DC64D9"/>
    <w:rsid w:val="00DC7C86"/>
    <w:rsid w:val="00DD06A4"/>
    <w:rsid w:val="00DD1780"/>
    <w:rsid w:val="00DD180B"/>
    <w:rsid w:val="00DD1A75"/>
    <w:rsid w:val="00DD1C97"/>
    <w:rsid w:val="00DD4DC2"/>
    <w:rsid w:val="00DD5FF6"/>
    <w:rsid w:val="00DD7BA8"/>
    <w:rsid w:val="00DE07E9"/>
    <w:rsid w:val="00DE10E9"/>
    <w:rsid w:val="00DE1816"/>
    <w:rsid w:val="00DE1FAC"/>
    <w:rsid w:val="00DE2E07"/>
    <w:rsid w:val="00DE2EE5"/>
    <w:rsid w:val="00DE4628"/>
    <w:rsid w:val="00DE4941"/>
    <w:rsid w:val="00DE4E49"/>
    <w:rsid w:val="00DE5830"/>
    <w:rsid w:val="00DE6577"/>
    <w:rsid w:val="00DF0632"/>
    <w:rsid w:val="00DF17F9"/>
    <w:rsid w:val="00DF19F7"/>
    <w:rsid w:val="00DF34A8"/>
    <w:rsid w:val="00DF3B5B"/>
    <w:rsid w:val="00DF4A6F"/>
    <w:rsid w:val="00DF7D8C"/>
    <w:rsid w:val="00E00574"/>
    <w:rsid w:val="00E007C6"/>
    <w:rsid w:val="00E050AA"/>
    <w:rsid w:val="00E05B1D"/>
    <w:rsid w:val="00E05BFA"/>
    <w:rsid w:val="00E05DFD"/>
    <w:rsid w:val="00E06B3B"/>
    <w:rsid w:val="00E078F1"/>
    <w:rsid w:val="00E107FB"/>
    <w:rsid w:val="00E10B2B"/>
    <w:rsid w:val="00E115C4"/>
    <w:rsid w:val="00E120C0"/>
    <w:rsid w:val="00E1227F"/>
    <w:rsid w:val="00E15041"/>
    <w:rsid w:val="00E15C84"/>
    <w:rsid w:val="00E179DC"/>
    <w:rsid w:val="00E17D45"/>
    <w:rsid w:val="00E2067B"/>
    <w:rsid w:val="00E22575"/>
    <w:rsid w:val="00E22B81"/>
    <w:rsid w:val="00E238D7"/>
    <w:rsid w:val="00E23D2E"/>
    <w:rsid w:val="00E24194"/>
    <w:rsid w:val="00E2421C"/>
    <w:rsid w:val="00E244B9"/>
    <w:rsid w:val="00E2477C"/>
    <w:rsid w:val="00E25571"/>
    <w:rsid w:val="00E271D5"/>
    <w:rsid w:val="00E27405"/>
    <w:rsid w:val="00E27573"/>
    <w:rsid w:val="00E30429"/>
    <w:rsid w:val="00E32D28"/>
    <w:rsid w:val="00E33962"/>
    <w:rsid w:val="00E3497D"/>
    <w:rsid w:val="00E35DAC"/>
    <w:rsid w:val="00E3663D"/>
    <w:rsid w:val="00E40917"/>
    <w:rsid w:val="00E41200"/>
    <w:rsid w:val="00E41F43"/>
    <w:rsid w:val="00E425B4"/>
    <w:rsid w:val="00E44398"/>
    <w:rsid w:val="00E450EF"/>
    <w:rsid w:val="00E454B6"/>
    <w:rsid w:val="00E4576C"/>
    <w:rsid w:val="00E46A08"/>
    <w:rsid w:val="00E46B3F"/>
    <w:rsid w:val="00E46B99"/>
    <w:rsid w:val="00E473D1"/>
    <w:rsid w:val="00E502AD"/>
    <w:rsid w:val="00E50EFA"/>
    <w:rsid w:val="00E52800"/>
    <w:rsid w:val="00E52C84"/>
    <w:rsid w:val="00E537EE"/>
    <w:rsid w:val="00E543AF"/>
    <w:rsid w:val="00E55B23"/>
    <w:rsid w:val="00E56082"/>
    <w:rsid w:val="00E61351"/>
    <w:rsid w:val="00E630C3"/>
    <w:rsid w:val="00E63A57"/>
    <w:rsid w:val="00E63AB3"/>
    <w:rsid w:val="00E6599F"/>
    <w:rsid w:val="00E6600D"/>
    <w:rsid w:val="00E6721B"/>
    <w:rsid w:val="00E6738B"/>
    <w:rsid w:val="00E70CE1"/>
    <w:rsid w:val="00E7191B"/>
    <w:rsid w:val="00E72414"/>
    <w:rsid w:val="00E73145"/>
    <w:rsid w:val="00E73F84"/>
    <w:rsid w:val="00E74267"/>
    <w:rsid w:val="00E74A42"/>
    <w:rsid w:val="00E752E9"/>
    <w:rsid w:val="00E7583C"/>
    <w:rsid w:val="00E773D1"/>
    <w:rsid w:val="00E77719"/>
    <w:rsid w:val="00E77B5F"/>
    <w:rsid w:val="00E80E19"/>
    <w:rsid w:val="00E81318"/>
    <w:rsid w:val="00E81AF0"/>
    <w:rsid w:val="00E82470"/>
    <w:rsid w:val="00E8250C"/>
    <w:rsid w:val="00E85069"/>
    <w:rsid w:val="00E873B0"/>
    <w:rsid w:val="00E87DBC"/>
    <w:rsid w:val="00E900B6"/>
    <w:rsid w:val="00E90A27"/>
    <w:rsid w:val="00E9254B"/>
    <w:rsid w:val="00E952BA"/>
    <w:rsid w:val="00E97B5E"/>
    <w:rsid w:val="00E97E61"/>
    <w:rsid w:val="00EA3372"/>
    <w:rsid w:val="00EA4E04"/>
    <w:rsid w:val="00EA5B54"/>
    <w:rsid w:val="00EA5D12"/>
    <w:rsid w:val="00EA5FBD"/>
    <w:rsid w:val="00EA6779"/>
    <w:rsid w:val="00EA6B61"/>
    <w:rsid w:val="00EB175D"/>
    <w:rsid w:val="00EB36C0"/>
    <w:rsid w:val="00EB42D1"/>
    <w:rsid w:val="00EB4680"/>
    <w:rsid w:val="00EC1069"/>
    <w:rsid w:val="00EC323A"/>
    <w:rsid w:val="00EC4619"/>
    <w:rsid w:val="00EC4F14"/>
    <w:rsid w:val="00EC5A8B"/>
    <w:rsid w:val="00EC5CB0"/>
    <w:rsid w:val="00EC62DE"/>
    <w:rsid w:val="00EC6313"/>
    <w:rsid w:val="00EC6497"/>
    <w:rsid w:val="00EC64D6"/>
    <w:rsid w:val="00ED053E"/>
    <w:rsid w:val="00ED0B39"/>
    <w:rsid w:val="00ED0FC5"/>
    <w:rsid w:val="00ED2E73"/>
    <w:rsid w:val="00ED57D0"/>
    <w:rsid w:val="00ED66C9"/>
    <w:rsid w:val="00EE077E"/>
    <w:rsid w:val="00EE2F9F"/>
    <w:rsid w:val="00EE36D6"/>
    <w:rsid w:val="00EE52A2"/>
    <w:rsid w:val="00EE5618"/>
    <w:rsid w:val="00EE6165"/>
    <w:rsid w:val="00EE6333"/>
    <w:rsid w:val="00EE63E5"/>
    <w:rsid w:val="00EE70F3"/>
    <w:rsid w:val="00EE7E84"/>
    <w:rsid w:val="00EF0B59"/>
    <w:rsid w:val="00EF11A4"/>
    <w:rsid w:val="00EF3B5A"/>
    <w:rsid w:val="00EF41F2"/>
    <w:rsid w:val="00EF420E"/>
    <w:rsid w:val="00EF4808"/>
    <w:rsid w:val="00EF5FEB"/>
    <w:rsid w:val="00EF6286"/>
    <w:rsid w:val="00EF6E81"/>
    <w:rsid w:val="00EF7C4B"/>
    <w:rsid w:val="00EF7F38"/>
    <w:rsid w:val="00F0097A"/>
    <w:rsid w:val="00F02DDD"/>
    <w:rsid w:val="00F03AF3"/>
    <w:rsid w:val="00F072D4"/>
    <w:rsid w:val="00F0758D"/>
    <w:rsid w:val="00F1062C"/>
    <w:rsid w:val="00F126FD"/>
    <w:rsid w:val="00F127C6"/>
    <w:rsid w:val="00F144DB"/>
    <w:rsid w:val="00F14887"/>
    <w:rsid w:val="00F14951"/>
    <w:rsid w:val="00F15F93"/>
    <w:rsid w:val="00F176D9"/>
    <w:rsid w:val="00F17D33"/>
    <w:rsid w:val="00F17F26"/>
    <w:rsid w:val="00F207CA"/>
    <w:rsid w:val="00F22E32"/>
    <w:rsid w:val="00F23DCA"/>
    <w:rsid w:val="00F25B2A"/>
    <w:rsid w:val="00F25BF2"/>
    <w:rsid w:val="00F26027"/>
    <w:rsid w:val="00F278EB"/>
    <w:rsid w:val="00F27D90"/>
    <w:rsid w:val="00F30985"/>
    <w:rsid w:val="00F30A64"/>
    <w:rsid w:val="00F30B4E"/>
    <w:rsid w:val="00F3130E"/>
    <w:rsid w:val="00F31DB2"/>
    <w:rsid w:val="00F32638"/>
    <w:rsid w:val="00F32986"/>
    <w:rsid w:val="00F33329"/>
    <w:rsid w:val="00F33DF5"/>
    <w:rsid w:val="00F33DFE"/>
    <w:rsid w:val="00F3467A"/>
    <w:rsid w:val="00F3506C"/>
    <w:rsid w:val="00F354C7"/>
    <w:rsid w:val="00F36DF7"/>
    <w:rsid w:val="00F373DF"/>
    <w:rsid w:val="00F37873"/>
    <w:rsid w:val="00F41465"/>
    <w:rsid w:val="00F4157B"/>
    <w:rsid w:val="00F42544"/>
    <w:rsid w:val="00F42605"/>
    <w:rsid w:val="00F42746"/>
    <w:rsid w:val="00F436E9"/>
    <w:rsid w:val="00F43830"/>
    <w:rsid w:val="00F449BE"/>
    <w:rsid w:val="00F4530A"/>
    <w:rsid w:val="00F4539B"/>
    <w:rsid w:val="00F46487"/>
    <w:rsid w:val="00F46B46"/>
    <w:rsid w:val="00F46F45"/>
    <w:rsid w:val="00F47107"/>
    <w:rsid w:val="00F50A51"/>
    <w:rsid w:val="00F50DD3"/>
    <w:rsid w:val="00F5344B"/>
    <w:rsid w:val="00F535A5"/>
    <w:rsid w:val="00F53F53"/>
    <w:rsid w:val="00F54222"/>
    <w:rsid w:val="00F54245"/>
    <w:rsid w:val="00F547C3"/>
    <w:rsid w:val="00F54C22"/>
    <w:rsid w:val="00F551C5"/>
    <w:rsid w:val="00F55D44"/>
    <w:rsid w:val="00F55EB6"/>
    <w:rsid w:val="00F566AC"/>
    <w:rsid w:val="00F566DB"/>
    <w:rsid w:val="00F578B3"/>
    <w:rsid w:val="00F57915"/>
    <w:rsid w:val="00F57CDC"/>
    <w:rsid w:val="00F60699"/>
    <w:rsid w:val="00F630EC"/>
    <w:rsid w:val="00F63232"/>
    <w:rsid w:val="00F63786"/>
    <w:rsid w:val="00F63A57"/>
    <w:rsid w:val="00F63F22"/>
    <w:rsid w:val="00F643E3"/>
    <w:rsid w:val="00F6457C"/>
    <w:rsid w:val="00F64EC6"/>
    <w:rsid w:val="00F656D1"/>
    <w:rsid w:val="00F6570C"/>
    <w:rsid w:val="00F65C10"/>
    <w:rsid w:val="00F65DD8"/>
    <w:rsid w:val="00F661F4"/>
    <w:rsid w:val="00F66984"/>
    <w:rsid w:val="00F67F27"/>
    <w:rsid w:val="00F705B7"/>
    <w:rsid w:val="00F73395"/>
    <w:rsid w:val="00F735A3"/>
    <w:rsid w:val="00F73D1B"/>
    <w:rsid w:val="00F742BE"/>
    <w:rsid w:val="00F74357"/>
    <w:rsid w:val="00F76B98"/>
    <w:rsid w:val="00F77D44"/>
    <w:rsid w:val="00F81576"/>
    <w:rsid w:val="00F81E72"/>
    <w:rsid w:val="00F82162"/>
    <w:rsid w:val="00F824FE"/>
    <w:rsid w:val="00F83B59"/>
    <w:rsid w:val="00F83C83"/>
    <w:rsid w:val="00F84884"/>
    <w:rsid w:val="00F852A7"/>
    <w:rsid w:val="00F85C32"/>
    <w:rsid w:val="00F862DB"/>
    <w:rsid w:val="00F8768D"/>
    <w:rsid w:val="00F904B5"/>
    <w:rsid w:val="00F90FC8"/>
    <w:rsid w:val="00F92331"/>
    <w:rsid w:val="00F92335"/>
    <w:rsid w:val="00F92798"/>
    <w:rsid w:val="00F938EF"/>
    <w:rsid w:val="00F948D0"/>
    <w:rsid w:val="00F96455"/>
    <w:rsid w:val="00F96D43"/>
    <w:rsid w:val="00F971C3"/>
    <w:rsid w:val="00F971E9"/>
    <w:rsid w:val="00FA2CCA"/>
    <w:rsid w:val="00FA572B"/>
    <w:rsid w:val="00FA599D"/>
    <w:rsid w:val="00FA67B4"/>
    <w:rsid w:val="00FB03EF"/>
    <w:rsid w:val="00FB0A2F"/>
    <w:rsid w:val="00FB0CCC"/>
    <w:rsid w:val="00FB34DB"/>
    <w:rsid w:val="00FB35D5"/>
    <w:rsid w:val="00FB3F51"/>
    <w:rsid w:val="00FB7AC7"/>
    <w:rsid w:val="00FC0119"/>
    <w:rsid w:val="00FC0C03"/>
    <w:rsid w:val="00FC1428"/>
    <w:rsid w:val="00FC21CB"/>
    <w:rsid w:val="00FC2550"/>
    <w:rsid w:val="00FC38F9"/>
    <w:rsid w:val="00FC4190"/>
    <w:rsid w:val="00FC53C8"/>
    <w:rsid w:val="00FC581A"/>
    <w:rsid w:val="00FC6AC0"/>
    <w:rsid w:val="00FC6C60"/>
    <w:rsid w:val="00FD149A"/>
    <w:rsid w:val="00FD1710"/>
    <w:rsid w:val="00FD195C"/>
    <w:rsid w:val="00FD1A10"/>
    <w:rsid w:val="00FD1D28"/>
    <w:rsid w:val="00FD487A"/>
    <w:rsid w:val="00FD4918"/>
    <w:rsid w:val="00FD5F15"/>
    <w:rsid w:val="00FD6146"/>
    <w:rsid w:val="00FE090C"/>
    <w:rsid w:val="00FE222E"/>
    <w:rsid w:val="00FE2C64"/>
    <w:rsid w:val="00FE4817"/>
    <w:rsid w:val="00FF0ABA"/>
    <w:rsid w:val="00FF3C38"/>
    <w:rsid w:val="00FF464A"/>
    <w:rsid w:val="00FF6546"/>
    <w:rsid w:val="00FF66D8"/>
    <w:rsid w:val="00FF6CBE"/>
    <w:rsid w:val="00FF7219"/>
    <w:rsid w:val="0118509A"/>
    <w:rsid w:val="078E176C"/>
    <w:rsid w:val="079667FC"/>
    <w:rsid w:val="0B567840"/>
    <w:rsid w:val="114C4C59"/>
    <w:rsid w:val="11C70ABB"/>
    <w:rsid w:val="13555556"/>
    <w:rsid w:val="15676A59"/>
    <w:rsid w:val="1FF257FE"/>
    <w:rsid w:val="21751154"/>
    <w:rsid w:val="23081467"/>
    <w:rsid w:val="256948BB"/>
    <w:rsid w:val="259B32DF"/>
    <w:rsid w:val="265B7A4E"/>
    <w:rsid w:val="2E5856C7"/>
    <w:rsid w:val="2FFE2719"/>
    <w:rsid w:val="394A2F2C"/>
    <w:rsid w:val="3C566AF9"/>
    <w:rsid w:val="3C8E4A4B"/>
    <w:rsid w:val="4AB123A8"/>
    <w:rsid w:val="4FF43AAA"/>
    <w:rsid w:val="51FE67CB"/>
    <w:rsid w:val="54D90876"/>
    <w:rsid w:val="5A332FE1"/>
    <w:rsid w:val="61E44170"/>
    <w:rsid w:val="6337660E"/>
    <w:rsid w:val="64A501B0"/>
    <w:rsid w:val="64D61EC5"/>
    <w:rsid w:val="662C68F8"/>
    <w:rsid w:val="663141EA"/>
    <w:rsid w:val="6A445C30"/>
    <w:rsid w:val="6F5911E8"/>
    <w:rsid w:val="742A516D"/>
    <w:rsid w:val="7F844653"/>
    <w:rsid w:val="FBF292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8"/>
      <w:szCs w:val="24"/>
      <w:lang w:val="en-US" w:eastAsia="zh-CN" w:bidi="ar-SA"/>
    </w:rPr>
  </w:style>
  <w:style w:type="paragraph" w:styleId="2">
    <w:name w:val="heading 1"/>
    <w:basedOn w:val="1"/>
    <w:next w:val="1"/>
    <w:link w:val="27"/>
    <w:qFormat/>
    <w:uiPriority w:val="9"/>
    <w:pPr>
      <w:keepNext/>
      <w:keepLines/>
      <w:spacing w:before="340" w:after="330" w:line="576" w:lineRule="auto"/>
      <w:jc w:val="center"/>
      <w:outlineLvl w:val="0"/>
    </w:pPr>
    <w:rPr>
      <w:b/>
      <w:bCs/>
      <w:kern w:val="44"/>
      <w:sz w:val="32"/>
      <w:szCs w:val="44"/>
    </w:rPr>
  </w:style>
  <w:style w:type="paragraph" w:styleId="3">
    <w:name w:val="heading 2"/>
    <w:basedOn w:val="1"/>
    <w:next w:val="1"/>
    <w:link w:val="28"/>
    <w:qFormat/>
    <w:uiPriority w:val="0"/>
    <w:pPr>
      <w:keepNext/>
      <w:keepLines/>
      <w:spacing w:before="260" w:after="260" w:line="415" w:lineRule="auto"/>
      <w:outlineLvl w:val="1"/>
    </w:pPr>
    <w:rPr>
      <w:rFonts w:ascii="Cambria" w:hAnsi="Cambria" w:eastAsia="Times New Roman"/>
      <w:b/>
      <w:bCs/>
      <w:sz w:val="30"/>
      <w:szCs w:val="32"/>
    </w:rPr>
  </w:style>
  <w:style w:type="paragraph" w:styleId="4">
    <w:name w:val="heading 3"/>
    <w:basedOn w:val="1"/>
    <w:next w:val="1"/>
    <w:link w:val="29"/>
    <w:unhideWhenUsed/>
    <w:qFormat/>
    <w:uiPriority w:val="9"/>
    <w:pPr>
      <w:keepNext/>
      <w:keepLines/>
      <w:spacing w:before="260" w:after="260" w:line="415" w:lineRule="auto"/>
      <w:outlineLvl w:val="2"/>
    </w:pPr>
    <w:rPr>
      <w:b/>
      <w:bCs/>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paragraph" w:styleId="6">
    <w:name w:val="heading 5"/>
    <w:basedOn w:val="1"/>
    <w:next w:val="1"/>
    <w:link w:val="31"/>
    <w:unhideWhenUsed/>
    <w:qFormat/>
    <w:uiPriority w:val="9"/>
    <w:pPr>
      <w:keepNext/>
      <w:keepLines/>
      <w:spacing w:before="280" w:after="290" w:line="376" w:lineRule="auto"/>
      <w:outlineLvl w:val="4"/>
    </w:pPr>
    <w:rPr>
      <w:b/>
      <w:bCs/>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semiHidden/>
    <w:unhideWhenUsed/>
    <w:qFormat/>
    <w:uiPriority w:val="99"/>
    <w:pPr>
      <w:ind w:firstLine="420" w:firstLineChars="200"/>
    </w:pPr>
  </w:style>
  <w:style w:type="paragraph" w:styleId="8">
    <w:name w:val="annotation text"/>
    <w:basedOn w:val="1"/>
    <w:link w:val="32"/>
    <w:semiHidden/>
    <w:unhideWhenUsed/>
    <w:qFormat/>
    <w:uiPriority w:val="99"/>
    <w:pPr>
      <w:jc w:val="left"/>
    </w:pPr>
  </w:style>
  <w:style w:type="paragraph" w:styleId="9">
    <w:name w:val="Body Text"/>
    <w:basedOn w:val="1"/>
    <w:link w:val="83"/>
    <w:unhideWhenUsed/>
    <w:qFormat/>
    <w:uiPriority w:val="99"/>
    <w:pPr>
      <w:spacing w:after="120"/>
    </w:pPr>
  </w:style>
  <w:style w:type="paragraph" w:styleId="10">
    <w:name w:val="Body Text Indent"/>
    <w:basedOn w:val="1"/>
    <w:link w:val="33"/>
    <w:qFormat/>
    <w:uiPriority w:val="0"/>
    <w:pPr>
      <w:tabs>
        <w:tab w:val="left" w:pos="180"/>
      </w:tabs>
      <w:spacing w:after="20"/>
      <w:ind w:firstLine="1440"/>
    </w:pPr>
    <w:rPr>
      <w:rFonts w:eastAsia="FangSong_GB2312" w:asciiTheme="minorHAnsi" w:hAnsiTheme="minorHAnsi" w:cstheme="minorBidi"/>
      <w:sz w:val="24"/>
      <w:szCs w:val="22"/>
    </w:rPr>
  </w:style>
  <w:style w:type="paragraph" w:styleId="11">
    <w:name w:val="toc 3"/>
    <w:basedOn w:val="1"/>
    <w:next w:val="1"/>
    <w:unhideWhenUsed/>
    <w:qFormat/>
    <w:uiPriority w:val="39"/>
    <w:pPr>
      <w:ind w:left="840" w:leftChars="400"/>
    </w:pPr>
  </w:style>
  <w:style w:type="paragraph" w:styleId="12">
    <w:name w:val="Date"/>
    <w:basedOn w:val="1"/>
    <w:next w:val="1"/>
    <w:link w:val="34"/>
    <w:semiHidden/>
    <w:unhideWhenUsed/>
    <w:qFormat/>
    <w:uiPriority w:val="99"/>
    <w:pPr>
      <w:ind w:left="100" w:leftChars="2500"/>
    </w:pPr>
  </w:style>
  <w:style w:type="paragraph" w:styleId="13">
    <w:name w:val="Balloon Text"/>
    <w:basedOn w:val="1"/>
    <w:link w:val="35"/>
    <w:semiHidden/>
    <w:unhideWhenUsed/>
    <w:qFormat/>
    <w:uiPriority w:val="99"/>
    <w:rPr>
      <w:sz w:val="18"/>
      <w:szCs w:val="18"/>
    </w:rPr>
  </w:style>
  <w:style w:type="paragraph" w:styleId="14">
    <w:name w:val="footer"/>
    <w:basedOn w:val="1"/>
    <w:link w:val="3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5">
    <w:name w:val="header"/>
    <w:basedOn w:val="1"/>
    <w:link w:val="37"/>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6">
    <w:name w:val="toc 1"/>
    <w:basedOn w:val="1"/>
    <w:next w:val="1"/>
    <w:qFormat/>
    <w:uiPriority w:val="39"/>
    <w:rPr>
      <w:rFonts w:ascii="黑体" w:hAnsi="宋体" w:eastAsia="FangSong_GB2312"/>
      <w:b/>
      <w:sz w:val="21"/>
      <w:szCs w:val="28"/>
    </w:rPr>
  </w:style>
  <w:style w:type="paragraph" w:styleId="17">
    <w:name w:val="toc 2"/>
    <w:basedOn w:val="1"/>
    <w:next w:val="1"/>
    <w:unhideWhenUsed/>
    <w:qFormat/>
    <w:uiPriority w:val="39"/>
    <w:pPr>
      <w:ind w:firstLine="400" w:firstLineChars="400"/>
      <w:jc w:val="right"/>
    </w:pPr>
    <w:rPr>
      <w:rFonts w:eastAsia="FangSong_GB2312"/>
      <w:sz w:val="21"/>
    </w:rPr>
  </w:style>
  <w:style w:type="paragraph" w:styleId="18">
    <w:name w:val="annotation subject"/>
    <w:basedOn w:val="8"/>
    <w:next w:val="8"/>
    <w:link w:val="38"/>
    <w:semiHidden/>
    <w:unhideWhenUsed/>
    <w:qFormat/>
    <w:uiPriority w:val="99"/>
    <w:rPr>
      <w:b/>
      <w:bCs/>
    </w:rPr>
  </w:style>
  <w:style w:type="table" w:styleId="20">
    <w:name w:val="Table Grid"/>
    <w:basedOn w:val="19"/>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qFormat/>
    <w:uiPriority w:val="0"/>
    <w:rPr>
      <w:rFonts w:eastAsia="宋体"/>
      <w:spacing w:val="6"/>
      <w:kern w:val="2"/>
      <w:sz w:val="28"/>
      <w:szCs w:val="24"/>
      <w:lang w:val="en-US" w:eastAsia="zh-CN" w:bidi="ar-SA"/>
    </w:rPr>
  </w:style>
  <w:style w:type="character" w:styleId="23">
    <w:name w:val="FollowedHyperlink"/>
    <w:basedOn w:val="21"/>
    <w:semiHidden/>
    <w:unhideWhenUsed/>
    <w:qFormat/>
    <w:uiPriority w:val="99"/>
    <w:rPr>
      <w:color w:val="800080"/>
      <w:u w:val="single"/>
    </w:rPr>
  </w:style>
  <w:style w:type="character" w:styleId="24">
    <w:name w:val="Emphasis"/>
    <w:basedOn w:val="21"/>
    <w:qFormat/>
    <w:uiPriority w:val="20"/>
    <w:rPr>
      <w:i/>
      <w:iCs/>
    </w:rPr>
  </w:style>
  <w:style w:type="character" w:styleId="25">
    <w:name w:val="Hyperlink"/>
    <w:qFormat/>
    <w:uiPriority w:val="99"/>
    <w:rPr>
      <w:color w:val="0000FF"/>
      <w:u w:val="single"/>
    </w:rPr>
  </w:style>
  <w:style w:type="character" w:styleId="26">
    <w:name w:val="annotation reference"/>
    <w:basedOn w:val="21"/>
    <w:semiHidden/>
    <w:unhideWhenUsed/>
    <w:qFormat/>
    <w:uiPriority w:val="99"/>
    <w:rPr>
      <w:sz w:val="21"/>
      <w:szCs w:val="21"/>
    </w:rPr>
  </w:style>
  <w:style w:type="character" w:customStyle="1" w:styleId="27">
    <w:name w:val="标题 1 字符"/>
    <w:basedOn w:val="21"/>
    <w:link w:val="2"/>
    <w:qFormat/>
    <w:uiPriority w:val="9"/>
    <w:rPr>
      <w:rFonts w:ascii="Times New Roman" w:hAnsi="Times New Roman" w:eastAsia="宋体" w:cs="Times New Roman"/>
      <w:b/>
      <w:bCs/>
      <w:kern w:val="44"/>
      <w:sz w:val="32"/>
      <w:szCs w:val="44"/>
    </w:rPr>
  </w:style>
  <w:style w:type="character" w:customStyle="1" w:styleId="28">
    <w:name w:val="标题 2 字符"/>
    <w:basedOn w:val="21"/>
    <w:link w:val="3"/>
    <w:qFormat/>
    <w:uiPriority w:val="0"/>
    <w:rPr>
      <w:rFonts w:ascii="Cambria" w:hAnsi="Cambria" w:eastAsia="Times New Roman" w:cs="Times New Roman"/>
      <w:b/>
      <w:bCs/>
      <w:kern w:val="2"/>
      <w:sz w:val="30"/>
      <w:szCs w:val="32"/>
    </w:rPr>
  </w:style>
  <w:style w:type="character" w:customStyle="1" w:styleId="29">
    <w:name w:val="标题 3 字符"/>
    <w:basedOn w:val="21"/>
    <w:link w:val="4"/>
    <w:qFormat/>
    <w:uiPriority w:val="9"/>
    <w:rPr>
      <w:rFonts w:ascii="Times New Roman" w:hAnsi="Times New Roman" w:eastAsia="宋体" w:cs="Times New Roman"/>
      <w:b/>
      <w:bCs/>
      <w:kern w:val="2"/>
      <w:sz w:val="28"/>
      <w:szCs w:val="32"/>
    </w:rPr>
  </w:style>
  <w:style w:type="character" w:customStyle="1" w:styleId="30">
    <w:name w:val="标题 4 字符"/>
    <w:basedOn w:val="21"/>
    <w:link w:val="5"/>
    <w:qFormat/>
    <w:uiPriority w:val="9"/>
    <w:rPr>
      <w:rFonts w:asciiTheme="majorHAnsi" w:hAnsiTheme="majorHAnsi" w:eastAsiaTheme="majorEastAsia" w:cstheme="majorBidi"/>
      <w:b/>
      <w:bCs/>
      <w:kern w:val="2"/>
      <w:sz w:val="28"/>
      <w:szCs w:val="28"/>
    </w:rPr>
  </w:style>
  <w:style w:type="character" w:customStyle="1" w:styleId="31">
    <w:name w:val="标题 5 字符"/>
    <w:basedOn w:val="21"/>
    <w:link w:val="6"/>
    <w:qFormat/>
    <w:uiPriority w:val="9"/>
    <w:rPr>
      <w:rFonts w:ascii="Times New Roman" w:hAnsi="Times New Roman" w:eastAsia="宋体" w:cs="Times New Roman"/>
      <w:b/>
      <w:bCs/>
      <w:kern w:val="2"/>
      <w:sz w:val="28"/>
      <w:szCs w:val="28"/>
    </w:rPr>
  </w:style>
  <w:style w:type="character" w:customStyle="1" w:styleId="32">
    <w:name w:val="批注文字 字符"/>
    <w:basedOn w:val="21"/>
    <w:link w:val="8"/>
    <w:semiHidden/>
    <w:qFormat/>
    <w:uiPriority w:val="99"/>
    <w:rPr>
      <w:rFonts w:ascii="Times New Roman" w:hAnsi="Times New Roman" w:eastAsia="宋体" w:cs="Times New Roman"/>
      <w:kern w:val="2"/>
      <w:sz w:val="28"/>
      <w:szCs w:val="24"/>
    </w:rPr>
  </w:style>
  <w:style w:type="character" w:customStyle="1" w:styleId="33">
    <w:name w:val="正文文本缩进 字符"/>
    <w:link w:val="10"/>
    <w:qFormat/>
    <w:uiPriority w:val="0"/>
    <w:rPr>
      <w:rFonts w:eastAsia="FangSong_GB2312"/>
      <w:sz w:val="24"/>
    </w:rPr>
  </w:style>
  <w:style w:type="character" w:customStyle="1" w:styleId="34">
    <w:name w:val="日期 字符"/>
    <w:basedOn w:val="21"/>
    <w:link w:val="12"/>
    <w:semiHidden/>
    <w:qFormat/>
    <w:uiPriority w:val="99"/>
    <w:rPr>
      <w:rFonts w:ascii="Times New Roman" w:hAnsi="Times New Roman" w:eastAsia="宋体" w:cs="Times New Roman"/>
      <w:szCs w:val="24"/>
    </w:rPr>
  </w:style>
  <w:style w:type="character" w:customStyle="1" w:styleId="35">
    <w:name w:val="批注框文本 字符"/>
    <w:basedOn w:val="21"/>
    <w:link w:val="13"/>
    <w:semiHidden/>
    <w:qFormat/>
    <w:uiPriority w:val="99"/>
    <w:rPr>
      <w:rFonts w:ascii="Times New Roman" w:hAnsi="Times New Roman" w:eastAsia="宋体" w:cs="Times New Roman"/>
      <w:sz w:val="18"/>
      <w:szCs w:val="18"/>
    </w:rPr>
  </w:style>
  <w:style w:type="character" w:customStyle="1" w:styleId="36">
    <w:name w:val="页脚 字符"/>
    <w:basedOn w:val="21"/>
    <w:link w:val="14"/>
    <w:qFormat/>
    <w:uiPriority w:val="99"/>
    <w:rPr>
      <w:sz w:val="18"/>
      <w:szCs w:val="18"/>
    </w:rPr>
  </w:style>
  <w:style w:type="character" w:customStyle="1" w:styleId="37">
    <w:name w:val="页眉 字符"/>
    <w:basedOn w:val="21"/>
    <w:link w:val="15"/>
    <w:qFormat/>
    <w:uiPriority w:val="99"/>
    <w:rPr>
      <w:sz w:val="18"/>
      <w:szCs w:val="18"/>
    </w:rPr>
  </w:style>
  <w:style w:type="character" w:customStyle="1" w:styleId="38">
    <w:name w:val="批注主题 字符"/>
    <w:basedOn w:val="32"/>
    <w:link w:val="18"/>
    <w:semiHidden/>
    <w:qFormat/>
    <w:uiPriority w:val="99"/>
    <w:rPr>
      <w:rFonts w:ascii="Times New Roman" w:hAnsi="Times New Roman" w:eastAsia="宋体" w:cs="Times New Roman"/>
      <w:b/>
      <w:bCs/>
      <w:kern w:val="2"/>
      <w:sz w:val="28"/>
      <w:szCs w:val="24"/>
    </w:rPr>
  </w:style>
  <w:style w:type="paragraph" w:customStyle="1" w:styleId="39">
    <w:name w:val="4号标题"/>
    <w:basedOn w:val="7"/>
    <w:qFormat/>
    <w:uiPriority w:val="0"/>
    <w:pPr>
      <w:spacing w:before="120" w:after="120"/>
      <w:ind w:firstLine="0" w:firstLineChars="0"/>
    </w:pPr>
    <w:rPr>
      <w:rFonts w:ascii="Century Gothic" w:hAnsi="Century Gothic" w:eastAsia="黑体"/>
      <w:b/>
      <w:kern w:val="0"/>
      <w:szCs w:val="28"/>
    </w:rPr>
  </w:style>
  <w:style w:type="paragraph" w:styleId="40">
    <w:name w:val="List Paragraph"/>
    <w:basedOn w:val="1"/>
    <w:qFormat/>
    <w:uiPriority w:val="34"/>
    <w:pPr>
      <w:ind w:firstLine="420" w:firstLineChars="200"/>
    </w:pPr>
  </w:style>
  <w:style w:type="character" w:customStyle="1" w:styleId="41">
    <w:name w:val="正文文本缩进 Char1"/>
    <w:basedOn w:val="21"/>
    <w:semiHidden/>
    <w:qFormat/>
    <w:uiPriority w:val="99"/>
    <w:rPr>
      <w:rFonts w:ascii="Times New Roman" w:hAnsi="Times New Roman" w:eastAsia="宋体" w:cs="Times New Roman"/>
      <w:szCs w:val="24"/>
    </w:rPr>
  </w:style>
  <w:style w:type="paragraph" w:customStyle="1" w:styleId="42">
    <w:name w:val="p0"/>
    <w:basedOn w:val="1"/>
    <w:qFormat/>
    <w:uiPriority w:val="0"/>
    <w:pPr>
      <w:widowControl/>
    </w:pPr>
    <w:rPr>
      <w:rFonts w:ascii="宋体" w:hAnsi="宋体" w:cs="宋体"/>
      <w:kern w:val="0"/>
      <w:szCs w:val="21"/>
    </w:rPr>
  </w:style>
  <w:style w:type="paragraph" w:styleId="43">
    <w:name w:val="No Spacing"/>
    <w:qFormat/>
    <w:uiPriority w:val="1"/>
    <w:pPr>
      <w:widowControl w:val="0"/>
      <w:ind w:firstLine="200" w:firstLineChars="200"/>
      <w:jc w:val="both"/>
    </w:pPr>
    <w:rPr>
      <w:rFonts w:eastAsia="宋体" w:asciiTheme="minorHAnsi" w:hAnsiTheme="minorHAnsi" w:cstheme="minorBidi"/>
      <w:kern w:val="2"/>
      <w:sz w:val="28"/>
      <w:szCs w:val="22"/>
      <w:lang w:val="en-US" w:eastAsia="zh-CN" w:bidi="ar-SA"/>
    </w:rPr>
  </w:style>
  <w:style w:type="paragraph" w:customStyle="1" w:styleId="44">
    <w:name w:val="Char"/>
    <w:basedOn w:val="1"/>
    <w:qFormat/>
    <w:uiPriority w:val="0"/>
    <w:pPr>
      <w:widowControl/>
      <w:spacing w:after="160" w:line="240" w:lineRule="exact"/>
      <w:jc w:val="left"/>
    </w:pPr>
    <w:rPr>
      <w:rFonts w:ascii="Verdana" w:hAnsi="Verdana" w:eastAsia="FangSong_GB2312"/>
      <w:kern w:val="0"/>
      <w:sz w:val="24"/>
      <w:szCs w:val="20"/>
      <w:lang w:eastAsia="en-US"/>
    </w:rPr>
  </w:style>
  <w:style w:type="paragraph" w:customStyle="1" w:styleId="45">
    <w:name w:val="正文-公1"/>
    <w:basedOn w:val="46"/>
    <w:next w:val="15"/>
    <w:qFormat/>
    <w:uiPriority w:val="0"/>
    <w:pPr>
      <w:ind w:firstLine="200" w:firstLineChars="200"/>
    </w:pPr>
  </w:style>
  <w:style w:type="paragraph" w:customStyle="1" w:styleId="46">
    <w:name w:val="正文1"/>
    <w:next w:val="45"/>
    <w:qFormat/>
    <w:uiPriority w:val="0"/>
    <w:pPr>
      <w:jc w:val="both"/>
    </w:pPr>
    <w:rPr>
      <w:rFonts w:ascii="Times New Roman" w:hAnsi="Times New Roman" w:eastAsia="宋体" w:cs="黑体"/>
      <w:sz w:val="21"/>
      <w:szCs w:val="22"/>
      <w:lang w:val="en-US" w:eastAsia="zh-CN" w:bidi="ar-SA"/>
    </w:rPr>
  </w:style>
  <w:style w:type="paragraph" w:customStyle="1" w:styleId="47">
    <w:name w:val="样式 首行缩进:  2 字符"/>
    <w:basedOn w:val="1"/>
    <w:qFormat/>
    <w:uiPriority w:val="99"/>
    <w:pPr>
      <w:ind w:firstLine="560" w:firstLineChars="200"/>
    </w:pPr>
    <w:rPr>
      <w:rFonts w:eastAsia="FangSong_GB2312" w:cs="宋体"/>
      <w:szCs w:val="20"/>
    </w:rPr>
  </w:style>
  <w:style w:type="table" w:customStyle="1" w:styleId="48">
    <w:name w:val="网格型1"/>
    <w:basedOn w:val="19"/>
    <w:unhideWhenUsed/>
    <w:qFormat/>
    <w:uiPriority w:val="5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9">
    <w:name w:val="font5"/>
    <w:basedOn w:val="1"/>
    <w:qFormat/>
    <w:uiPriority w:val="0"/>
    <w:pPr>
      <w:widowControl/>
      <w:spacing w:before="100" w:beforeAutospacing="1" w:after="100" w:afterAutospacing="1" w:line="240" w:lineRule="auto"/>
      <w:jc w:val="left"/>
    </w:pPr>
    <w:rPr>
      <w:rFonts w:ascii="黑体" w:hAnsi="黑体" w:eastAsia="黑体" w:cs="宋体"/>
      <w:color w:val="000000"/>
      <w:kern w:val="0"/>
      <w:sz w:val="20"/>
      <w:szCs w:val="20"/>
    </w:rPr>
  </w:style>
  <w:style w:type="paragraph" w:customStyle="1" w:styleId="50">
    <w:name w:val="font6"/>
    <w:basedOn w:val="1"/>
    <w:qFormat/>
    <w:uiPriority w:val="0"/>
    <w:pPr>
      <w:widowControl/>
      <w:spacing w:before="100" w:beforeAutospacing="1" w:after="100" w:afterAutospacing="1" w:line="240" w:lineRule="auto"/>
      <w:jc w:val="left"/>
    </w:pPr>
    <w:rPr>
      <w:rFonts w:ascii="仿宋" w:hAnsi="仿宋" w:eastAsia="仿宋" w:cs="宋体"/>
      <w:color w:val="000000"/>
      <w:kern w:val="0"/>
      <w:sz w:val="20"/>
      <w:szCs w:val="20"/>
    </w:rPr>
  </w:style>
  <w:style w:type="paragraph" w:customStyle="1" w:styleId="51">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仿宋" w:hAnsi="仿宋" w:eastAsia="仿宋" w:cs="宋体"/>
      <w:b/>
      <w:bCs/>
      <w:kern w:val="0"/>
      <w:sz w:val="20"/>
      <w:szCs w:val="20"/>
    </w:rPr>
  </w:style>
  <w:style w:type="paragraph" w:customStyle="1" w:styleId="52">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53">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54">
    <w:name w:val="xl82"/>
    <w:basedOn w:val="1"/>
    <w:qFormat/>
    <w:uiPriority w:val="0"/>
    <w:pPr>
      <w:widowControl/>
      <w:spacing w:before="100" w:beforeAutospacing="1" w:after="100" w:afterAutospacing="1" w:line="240" w:lineRule="auto"/>
      <w:jc w:val="left"/>
      <w:textAlignment w:val="center"/>
    </w:pPr>
    <w:rPr>
      <w:rFonts w:ascii="宋体" w:hAnsi="宋体" w:cs="宋体"/>
      <w:kern w:val="0"/>
      <w:sz w:val="24"/>
    </w:rPr>
  </w:style>
  <w:style w:type="paragraph" w:customStyle="1" w:styleId="55">
    <w:name w:val="xl83"/>
    <w:basedOn w:val="1"/>
    <w:qFormat/>
    <w:uiPriority w:val="0"/>
    <w:pPr>
      <w:widowControl/>
      <w:pBdr>
        <w:top w:val="single" w:color="auto" w:sz="8" w:space="0"/>
      </w:pBdr>
      <w:spacing w:before="100" w:beforeAutospacing="1" w:after="100" w:afterAutospacing="1" w:line="240" w:lineRule="auto"/>
      <w:jc w:val="left"/>
      <w:textAlignment w:val="top"/>
    </w:pPr>
    <w:rPr>
      <w:rFonts w:ascii="黑体" w:hAnsi="黑体" w:eastAsia="黑体" w:cs="宋体"/>
      <w:kern w:val="0"/>
      <w:sz w:val="20"/>
      <w:szCs w:val="20"/>
    </w:rPr>
  </w:style>
  <w:style w:type="paragraph" w:customStyle="1" w:styleId="56">
    <w:name w:val="xl84"/>
    <w:basedOn w:val="1"/>
    <w:qFormat/>
    <w:uiPriority w:val="0"/>
    <w:pPr>
      <w:widowControl/>
      <w:pBdr>
        <w:top w:val="single" w:color="auto" w:sz="8" w:space="0"/>
      </w:pBdr>
      <w:spacing w:before="100" w:beforeAutospacing="1" w:after="100" w:afterAutospacing="1" w:line="240" w:lineRule="auto"/>
      <w:jc w:val="left"/>
      <w:textAlignment w:val="top"/>
    </w:pPr>
    <w:rPr>
      <w:rFonts w:ascii="仿宋" w:hAnsi="仿宋" w:eastAsia="仿宋" w:cs="宋体"/>
      <w:kern w:val="0"/>
      <w:sz w:val="20"/>
      <w:szCs w:val="20"/>
    </w:rPr>
  </w:style>
  <w:style w:type="paragraph" w:customStyle="1" w:styleId="57">
    <w:name w:val="xl85"/>
    <w:basedOn w:val="1"/>
    <w:qFormat/>
    <w:uiPriority w:val="0"/>
    <w:pPr>
      <w:widowControl/>
      <w:spacing w:before="100" w:beforeAutospacing="1" w:after="100" w:afterAutospacing="1" w:line="240" w:lineRule="auto"/>
      <w:jc w:val="left"/>
      <w:textAlignment w:val="top"/>
    </w:pPr>
    <w:rPr>
      <w:rFonts w:ascii="仿宋" w:hAnsi="仿宋" w:eastAsia="仿宋" w:cs="宋体"/>
      <w:kern w:val="0"/>
      <w:sz w:val="20"/>
      <w:szCs w:val="20"/>
    </w:rPr>
  </w:style>
  <w:style w:type="paragraph" w:customStyle="1" w:styleId="58">
    <w:name w:val="xl86"/>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黑体" w:hAnsi="黑体" w:eastAsia="黑体" w:cs="宋体"/>
      <w:b/>
      <w:bCs/>
      <w:kern w:val="0"/>
      <w:sz w:val="20"/>
      <w:szCs w:val="20"/>
    </w:rPr>
  </w:style>
  <w:style w:type="paragraph" w:customStyle="1" w:styleId="59">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黑体" w:hAnsi="黑体" w:eastAsia="黑体" w:cs="宋体"/>
      <w:b/>
      <w:bCs/>
      <w:kern w:val="0"/>
      <w:sz w:val="20"/>
      <w:szCs w:val="20"/>
    </w:rPr>
  </w:style>
  <w:style w:type="paragraph" w:customStyle="1" w:styleId="60">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黑体" w:hAnsi="黑体" w:eastAsia="黑体" w:cs="宋体"/>
      <w:b/>
      <w:bCs/>
      <w:kern w:val="0"/>
      <w:sz w:val="20"/>
      <w:szCs w:val="20"/>
    </w:rPr>
  </w:style>
  <w:style w:type="paragraph" w:customStyle="1" w:styleId="61">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b/>
      <w:bCs/>
      <w:kern w:val="0"/>
      <w:sz w:val="20"/>
      <w:szCs w:val="20"/>
    </w:rPr>
  </w:style>
  <w:style w:type="paragraph" w:customStyle="1" w:styleId="62">
    <w:name w:val="xl90"/>
    <w:basedOn w:val="1"/>
    <w:qFormat/>
    <w:uiPriority w:val="0"/>
    <w:pPr>
      <w:widowControl/>
      <w:spacing w:before="100" w:beforeAutospacing="1" w:after="100" w:afterAutospacing="1" w:line="240" w:lineRule="auto"/>
      <w:jc w:val="left"/>
    </w:pPr>
    <w:rPr>
      <w:rFonts w:ascii="宋体" w:hAnsi="宋体" w:cs="宋体"/>
      <w:b/>
      <w:bCs/>
      <w:kern w:val="0"/>
      <w:sz w:val="24"/>
    </w:rPr>
  </w:style>
  <w:style w:type="paragraph" w:customStyle="1" w:styleId="63">
    <w:name w:val="xl91"/>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黑体" w:hAnsi="黑体" w:eastAsia="黑体" w:cs="宋体"/>
      <w:b/>
      <w:bCs/>
      <w:kern w:val="0"/>
      <w:sz w:val="20"/>
      <w:szCs w:val="20"/>
    </w:rPr>
  </w:style>
  <w:style w:type="paragraph" w:customStyle="1" w:styleId="64">
    <w:name w:val="xl92"/>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黑体" w:hAnsi="黑体" w:eastAsia="黑体" w:cs="宋体"/>
      <w:b/>
      <w:bCs/>
      <w:color w:val="000000"/>
      <w:kern w:val="0"/>
      <w:sz w:val="20"/>
      <w:szCs w:val="20"/>
    </w:rPr>
  </w:style>
  <w:style w:type="paragraph" w:customStyle="1" w:styleId="65">
    <w:name w:val="xl93"/>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textAlignment w:val="center"/>
    </w:pPr>
    <w:rPr>
      <w:rFonts w:ascii="黑体" w:hAnsi="黑体" w:eastAsia="黑体" w:cs="宋体"/>
      <w:b/>
      <w:bCs/>
      <w:color w:val="000000"/>
      <w:kern w:val="0"/>
      <w:sz w:val="20"/>
      <w:szCs w:val="20"/>
    </w:rPr>
  </w:style>
  <w:style w:type="paragraph" w:customStyle="1" w:styleId="66">
    <w:name w:val="xl94"/>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黑体" w:hAnsi="黑体" w:eastAsia="黑体" w:cs="宋体"/>
      <w:b/>
      <w:bCs/>
      <w:kern w:val="0"/>
      <w:sz w:val="20"/>
      <w:szCs w:val="20"/>
    </w:rPr>
  </w:style>
  <w:style w:type="paragraph" w:customStyle="1" w:styleId="67">
    <w:name w:val="xl95"/>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textAlignment w:val="center"/>
    </w:pPr>
    <w:rPr>
      <w:rFonts w:ascii="黑体" w:hAnsi="黑体" w:eastAsia="黑体" w:cs="宋体"/>
      <w:b/>
      <w:bCs/>
      <w:kern w:val="0"/>
      <w:sz w:val="20"/>
      <w:szCs w:val="20"/>
    </w:rPr>
  </w:style>
  <w:style w:type="paragraph" w:customStyle="1" w:styleId="68">
    <w:name w:val="xl96"/>
    <w:basedOn w:val="1"/>
    <w:qFormat/>
    <w:uiPriority w:val="0"/>
    <w:pPr>
      <w:widowControl/>
      <w:pBdr>
        <w:top w:val="single" w:color="auto" w:sz="8" w:space="0"/>
        <w:bottom w:val="single" w:color="auto" w:sz="4" w:space="0"/>
      </w:pBdr>
      <w:spacing w:before="100" w:beforeAutospacing="1" w:after="100" w:afterAutospacing="1" w:line="240" w:lineRule="auto"/>
      <w:jc w:val="center"/>
      <w:textAlignment w:val="center"/>
    </w:pPr>
    <w:rPr>
      <w:rFonts w:ascii="黑体" w:hAnsi="黑体" w:eastAsia="黑体" w:cs="宋体"/>
      <w:b/>
      <w:bCs/>
      <w:kern w:val="0"/>
      <w:sz w:val="20"/>
      <w:szCs w:val="20"/>
    </w:rPr>
  </w:style>
  <w:style w:type="paragraph" w:customStyle="1" w:styleId="69">
    <w:name w:val="xl97"/>
    <w:basedOn w:val="1"/>
    <w:qFormat/>
    <w:uiPriority w:val="0"/>
    <w:pPr>
      <w:widowControl/>
      <w:pBdr>
        <w:top w:val="single" w:color="auto" w:sz="8" w:space="0"/>
        <w:left w:val="single" w:color="auto" w:sz="4" w:space="0"/>
        <w:bottom w:val="single" w:color="auto" w:sz="4" w:space="0"/>
      </w:pBdr>
      <w:spacing w:before="100" w:beforeAutospacing="1" w:after="100" w:afterAutospacing="1" w:line="240" w:lineRule="auto"/>
      <w:jc w:val="center"/>
      <w:textAlignment w:val="center"/>
    </w:pPr>
    <w:rPr>
      <w:rFonts w:ascii="黑体" w:hAnsi="黑体" w:eastAsia="黑体" w:cs="宋体"/>
      <w:b/>
      <w:bCs/>
      <w:kern w:val="0"/>
      <w:sz w:val="20"/>
      <w:szCs w:val="20"/>
    </w:rPr>
  </w:style>
  <w:style w:type="paragraph" w:customStyle="1" w:styleId="70">
    <w:name w:val="xl98"/>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黑体" w:hAnsi="黑体" w:eastAsia="黑体" w:cs="宋体"/>
      <w:b/>
      <w:bCs/>
      <w:kern w:val="0"/>
      <w:sz w:val="20"/>
      <w:szCs w:val="20"/>
    </w:rPr>
  </w:style>
  <w:style w:type="paragraph" w:customStyle="1" w:styleId="71">
    <w:name w:val="xl99"/>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黑体" w:hAnsi="黑体" w:eastAsia="黑体" w:cs="宋体"/>
      <w:b/>
      <w:bCs/>
      <w:kern w:val="0"/>
      <w:sz w:val="20"/>
      <w:szCs w:val="20"/>
    </w:rPr>
  </w:style>
  <w:style w:type="paragraph" w:customStyle="1" w:styleId="72">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黑体" w:hAnsi="黑体" w:eastAsia="黑体" w:cs="宋体"/>
      <w:b/>
      <w:bCs/>
      <w:color w:val="000000"/>
      <w:kern w:val="0"/>
      <w:sz w:val="20"/>
      <w:szCs w:val="20"/>
    </w:rPr>
  </w:style>
  <w:style w:type="paragraph" w:customStyle="1" w:styleId="73">
    <w:name w:val="xl101"/>
    <w:basedOn w:val="1"/>
    <w:qFormat/>
    <w:uiPriority w:val="0"/>
    <w:pPr>
      <w:widowControl/>
      <w:pBdr>
        <w:left w:val="single" w:color="auto" w:sz="4" w:space="0"/>
        <w:right w:val="single" w:color="auto" w:sz="4" w:space="0"/>
      </w:pBdr>
      <w:spacing w:before="100" w:beforeAutospacing="1" w:after="100" w:afterAutospacing="1" w:line="240" w:lineRule="auto"/>
      <w:jc w:val="center"/>
      <w:textAlignment w:val="center"/>
    </w:pPr>
    <w:rPr>
      <w:rFonts w:ascii="黑体" w:hAnsi="黑体" w:eastAsia="黑体" w:cs="宋体"/>
      <w:b/>
      <w:bCs/>
      <w:color w:val="000000"/>
      <w:kern w:val="0"/>
      <w:sz w:val="20"/>
      <w:szCs w:val="20"/>
    </w:rPr>
  </w:style>
  <w:style w:type="paragraph" w:customStyle="1" w:styleId="74">
    <w:name w:val="xl102"/>
    <w:basedOn w:val="1"/>
    <w:qFormat/>
    <w:uiPriority w:val="0"/>
    <w:pPr>
      <w:widowControl/>
      <w:pBdr>
        <w:left w:val="single" w:color="auto" w:sz="4" w:space="0"/>
        <w:right w:val="single" w:color="auto" w:sz="4" w:space="0"/>
      </w:pBdr>
      <w:spacing w:before="100" w:beforeAutospacing="1" w:after="100" w:afterAutospacing="1" w:line="240" w:lineRule="auto"/>
      <w:jc w:val="center"/>
      <w:textAlignment w:val="center"/>
    </w:pPr>
    <w:rPr>
      <w:rFonts w:ascii="黑体" w:hAnsi="黑体" w:eastAsia="黑体" w:cs="宋体"/>
      <w:b/>
      <w:bCs/>
      <w:kern w:val="0"/>
      <w:sz w:val="20"/>
      <w:szCs w:val="20"/>
    </w:rPr>
  </w:style>
  <w:style w:type="paragraph" w:customStyle="1" w:styleId="75">
    <w:name w:val="xl10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黑体" w:hAnsi="黑体" w:eastAsia="黑体" w:cs="宋体"/>
      <w:b/>
      <w:bCs/>
      <w:kern w:val="0"/>
      <w:sz w:val="20"/>
      <w:szCs w:val="20"/>
    </w:rPr>
  </w:style>
  <w:style w:type="paragraph" w:customStyle="1" w:styleId="76">
    <w:name w:val="xl104"/>
    <w:basedOn w:val="1"/>
    <w:qFormat/>
    <w:uiPriority w:val="0"/>
    <w:pPr>
      <w:widowControl/>
      <w:pBdr>
        <w:top w:val="single" w:color="auto" w:sz="4" w:space="0"/>
        <w:bottom w:val="single" w:color="auto" w:sz="4" w:space="0"/>
      </w:pBdr>
      <w:spacing w:before="100" w:beforeAutospacing="1" w:after="100" w:afterAutospacing="1" w:line="240" w:lineRule="auto"/>
      <w:jc w:val="center"/>
      <w:textAlignment w:val="center"/>
    </w:pPr>
    <w:rPr>
      <w:rFonts w:ascii="黑体" w:hAnsi="黑体" w:eastAsia="黑体" w:cs="宋体"/>
      <w:b/>
      <w:bCs/>
      <w:kern w:val="0"/>
      <w:sz w:val="20"/>
      <w:szCs w:val="20"/>
    </w:rPr>
  </w:style>
  <w:style w:type="paragraph" w:customStyle="1" w:styleId="77">
    <w:name w:val="xl10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黑体" w:hAnsi="黑体" w:eastAsia="黑体" w:cs="宋体"/>
      <w:b/>
      <w:bCs/>
      <w:kern w:val="0"/>
      <w:sz w:val="20"/>
      <w:szCs w:val="20"/>
    </w:rPr>
  </w:style>
  <w:style w:type="paragraph" w:customStyle="1" w:styleId="78">
    <w:name w:val="xl10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黑体" w:hAnsi="黑体" w:eastAsia="黑体" w:cs="宋体"/>
      <w:b/>
      <w:bCs/>
      <w:kern w:val="0"/>
      <w:sz w:val="20"/>
      <w:szCs w:val="20"/>
    </w:rPr>
  </w:style>
  <w:style w:type="paragraph" w:customStyle="1" w:styleId="79">
    <w:name w:val="xl107"/>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黑体" w:hAnsi="黑体" w:eastAsia="黑体" w:cs="宋体"/>
      <w:b/>
      <w:bCs/>
      <w:color w:val="000000"/>
      <w:kern w:val="0"/>
      <w:sz w:val="20"/>
      <w:szCs w:val="20"/>
    </w:rPr>
  </w:style>
  <w:style w:type="paragraph" w:customStyle="1" w:styleId="80">
    <w:name w:val="xl10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黑体" w:hAnsi="黑体" w:eastAsia="黑体" w:cs="宋体"/>
      <w:b/>
      <w:bCs/>
      <w:kern w:val="0"/>
      <w:sz w:val="20"/>
      <w:szCs w:val="20"/>
    </w:rPr>
  </w:style>
  <w:style w:type="paragraph" w:customStyle="1" w:styleId="8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Cs w:val="32"/>
    </w:rPr>
  </w:style>
  <w:style w:type="paragraph" w:customStyle="1" w:styleId="82">
    <w:name w:val="Char Char Char Char Char Char Char Char Char Char Char Char Char"/>
    <w:basedOn w:val="1"/>
    <w:qFormat/>
    <w:uiPriority w:val="0"/>
    <w:pPr>
      <w:widowControl/>
      <w:spacing w:after="200" w:line="252" w:lineRule="auto"/>
      <w:jc w:val="left"/>
    </w:pPr>
    <w:rPr>
      <w:sz w:val="21"/>
      <w:szCs w:val="20"/>
    </w:rPr>
  </w:style>
  <w:style w:type="character" w:customStyle="1" w:styleId="83">
    <w:name w:val="正文文本 字符"/>
    <w:basedOn w:val="21"/>
    <w:link w:val="9"/>
    <w:qFormat/>
    <w:uiPriority w:val="99"/>
    <w:rPr>
      <w:kern w:val="2"/>
      <w:sz w:val="28"/>
      <w:szCs w:val="24"/>
    </w:rPr>
  </w:style>
  <w:style w:type="paragraph" w:customStyle="1" w:styleId="84">
    <w:name w:val="Default"/>
    <w:qFormat/>
    <w:uiPriority w:val="0"/>
    <w:pPr>
      <w:widowControl w:val="0"/>
      <w:autoSpaceDE w:val="0"/>
      <w:autoSpaceDN w:val="0"/>
      <w:adjustRightInd w:val="0"/>
    </w:pPr>
    <w:rPr>
      <w:rFonts w:ascii="楷体" w:hAnsi="Times New Roman" w:eastAsia="楷体" w:cs="楷体"/>
      <w:color w:val="000000"/>
      <w:sz w:val="24"/>
      <w:szCs w:val="24"/>
      <w:lang w:val="en-US" w:eastAsia="zh-CN" w:bidi="ar-SA"/>
    </w:rPr>
  </w:style>
  <w:style w:type="character" w:customStyle="1" w:styleId="85">
    <w:name w:val="font31"/>
    <w:basedOn w:val="21"/>
    <w:qFormat/>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7.jpeg"/><Relationship Id="rId22" Type="http://schemas.openxmlformats.org/officeDocument/2006/relationships/chart" Target="charts/chart1.xml"/><Relationship Id="rId21" Type="http://schemas.openxmlformats.org/officeDocument/2006/relationships/image" Target="media/image6.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oleObject1.bin"/><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dPt>
          <c:dPt>
            <c:idx val="2"/>
            <c:bubble3D val="0"/>
            <c:spPr>
              <a:solidFill>
                <a:schemeClr val="accent3"/>
              </a:solidFill>
              <a:ln w="25400">
                <a:solidFill>
                  <a:schemeClr val="lt1"/>
                </a:solidFill>
              </a:ln>
              <a:effectLst/>
              <a:scene3d>
                <a:camera prst="orthographicFront"/>
                <a:lightRig rig="threePt" dir="t"/>
              </a:scene3d>
              <a:sp3d contourW="25400">
                <a:contourClr>
                  <a:schemeClr val="lt1"/>
                </a:contourClr>
              </a:sp3d>
            </c:spPr>
          </c:dPt>
          <c:dPt>
            <c:idx val="3"/>
            <c:bubble3D val="0"/>
            <c:spPr>
              <a:solidFill>
                <a:schemeClr val="accent4"/>
              </a:solidFill>
              <a:ln w="25400">
                <a:solidFill>
                  <a:schemeClr val="lt1"/>
                </a:solidFill>
              </a:ln>
              <a:effectLst/>
              <a:scene3d>
                <a:camera prst="orthographicFront"/>
                <a:lightRig rig="threePt" dir="t"/>
              </a:scene3d>
              <a:sp3d contourW="25400">
                <a:contourClr>
                  <a:schemeClr val="lt1"/>
                </a:contourClr>
              </a:sp3d>
            </c:spPr>
          </c:dPt>
          <c:dPt>
            <c:idx val="4"/>
            <c:bubble3D val="0"/>
            <c:spPr>
              <a:solidFill>
                <a:schemeClr val="accent5"/>
              </a:solidFill>
              <a:ln w="25400">
                <a:solidFill>
                  <a:schemeClr val="lt1"/>
                </a:solidFill>
              </a:ln>
              <a:effectLst/>
              <a:scene3d>
                <a:camera prst="orthographicFront"/>
                <a:lightRig rig="threePt" dir="t"/>
              </a:scene3d>
              <a:sp3d contourW="25400">
                <a:contourClr>
                  <a:schemeClr val="lt1"/>
                </a:contourClr>
              </a:sp3d>
            </c:spPr>
          </c:dPt>
          <c:dPt>
            <c:idx val="5"/>
            <c:bubble3D val="0"/>
            <c:spPr>
              <a:solidFill>
                <a:schemeClr val="accent6"/>
              </a:solidFill>
              <a:ln w="25400">
                <a:solidFill>
                  <a:schemeClr val="lt1"/>
                </a:solidFill>
              </a:ln>
              <a:effectLst/>
              <a:scene3d>
                <a:camera prst="orthographicFront"/>
                <a:lightRig rig="threePt" dir="t"/>
              </a:scene3d>
              <a:sp3d contourW="25400">
                <a:contourClr>
                  <a:schemeClr val="lt1"/>
                </a:contourClr>
              </a:sp3d>
            </c:spPr>
          </c:dPt>
          <c:dPt>
            <c:idx val="6"/>
            <c:bubble3D val="0"/>
            <c:spPr>
              <a:solidFill>
                <a:schemeClr val="accent1">
                  <a:lumMod val="60000"/>
                </a:schemeClr>
              </a:solidFill>
              <a:ln w="25400">
                <a:solidFill>
                  <a:schemeClr val="lt1"/>
                </a:solidFill>
              </a:ln>
              <a:effectLst/>
              <a:scene3d>
                <a:camera prst="orthographicFront"/>
                <a:lightRig rig="threePt" dir="t"/>
              </a:scene3d>
              <a:sp3d contourW="25400">
                <a:contourClr>
                  <a:schemeClr val="lt1"/>
                </a:contourClr>
              </a:sp3d>
            </c:spPr>
          </c:dPt>
          <c:dPt>
            <c:idx val="7"/>
            <c:bubble3D val="0"/>
            <c:spPr>
              <a:solidFill>
                <a:schemeClr val="accent2">
                  <a:lumMod val="60000"/>
                </a:schemeClr>
              </a:solidFill>
              <a:ln w="25400">
                <a:solidFill>
                  <a:schemeClr val="lt1"/>
                </a:solidFill>
              </a:ln>
              <a:effectLst/>
              <a:scene3d>
                <a:camera prst="orthographicFront"/>
                <a:lightRig rig="threePt" dir="t"/>
              </a:scene3d>
              <a:sp3d contourW="25400">
                <a:contourClr>
                  <a:schemeClr val="lt1"/>
                </a:contourClr>
              </a:sp3d>
            </c:spPr>
          </c:dPt>
          <c:dPt>
            <c:idx val="8"/>
            <c:bubble3D val="0"/>
            <c:spPr>
              <a:solidFill>
                <a:schemeClr val="accent3">
                  <a:lumMod val="60000"/>
                </a:schemeClr>
              </a:solidFill>
              <a:ln w="25400">
                <a:solidFill>
                  <a:schemeClr val="lt1"/>
                </a:solidFill>
              </a:ln>
              <a:effectLst/>
              <a:scene3d>
                <a:camera prst="orthographicFront"/>
                <a:lightRig rig="threePt" dir="t"/>
              </a:scene3d>
              <a:sp3d contourW="25400">
                <a:contourClr>
                  <a:schemeClr val="lt1"/>
                </a:contourClr>
              </a:sp3d>
            </c:spPr>
          </c:dPt>
          <c:dLbls>
            <c:dLbl>
              <c:idx val="0"/>
              <c:layout>
                <c:manualLayout>
                  <c:x val="-0.00779618436607643"/>
                  <c:y val="-0.04514355052496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45888567056999"/>
                  <c:y val="0.003480708030334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02013226822563"/>
                  <c:y val="0.025412156811686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400077002896999"/>
                  <c:y val="0.024197937600896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455941639145331"/>
                  <c:y val="-0.0094392127399356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309808548282877"/>
                  <c:y val="-0.055656644134289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135806985239066"/>
                  <c:y val="-0.058857476131830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239743984320156"/>
                  <c:y val="-0.0452478703808448"/>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50525924142462"/>
                  <c:y val="-0.027750949284008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11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Sheet1!$F$5:$N$5</c:f>
              <c:strCache>
                <c:ptCount val="9"/>
                <c:pt idx="0">
                  <c:v>高速公路</c:v>
                </c:pt>
                <c:pt idx="1">
                  <c:v>国省道改造</c:v>
                </c:pt>
                <c:pt idx="2">
                  <c:v>区域干线</c:v>
                </c:pt>
                <c:pt idx="3">
                  <c:v>农村公路</c:v>
                </c:pt>
                <c:pt idx="4">
                  <c:v>汽车场站</c:v>
                </c:pt>
                <c:pt idx="5">
                  <c:v>水运</c:v>
                </c:pt>
                <c:pt idx="6">
                  <c:v>乡镇通二级</c:v>
                </c:pt>
                <c:pt idx="7">
                  <c:v>旅游公路</c:v>
                </c:pt>
                <c:pt idx="8">
                  <c:v>其他项目</c:v>
                </c:pt>
              </c:strCache>
            </c:strRef>
          </c:cat>
          <c:val>
            <c:numRef>
              <c:f>Sheet1!$F$13:$N$13</c:f>
              <c:numCache>
                <c:formatCode>0.00%</c:formatCode>
                <c:ptCount val="9"/>
                <c:pt idx="0">
                  <c:v>0.323394189461885</c:v>
                </c:pt>
                <c:pt idx="1">
                  <c:v>0.115836244315876</c:v>
                </c:pt>
                <c:pt idx="2">
                  <c:v>0.15123921230607</c:v>
                </c:pt>
                <c:pt idx="3">
                  <c:v>0.212972985125081</c:v>
                </c:pt>
                <c:pt idx="4">
                  <c:v>0.0174207083880255</c:v>
                </c:pt>
                <c:pt idx="5">
                  <c:v>0.00345194561068356</c:v>
                </c:pt>
                <c:pt idx="6">
                  <c:v>0.0739981623509599</c:v>
                </c:pt>
                <c:pt idx="7">
                  <c:v>0.0171182177924955</c:v>
                </c:pt>
                <c:pt idx="8">
                  <c:v>0.0845683346489241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TPRI</Company>
  <Pages>155</Pages>
  <Words>70846</Words>
  <Characters>76924</Characters>
  <Lines>601</Lines>
  <Paragraphs>169</Paragraphs>
  <TotalTime>5</TotalTime>
  <ScaleCrop>false</ScaleCrop>
  <LinksUpToDate>false</LinksUpToDate>
  <CharactersWithSpaces>77420</CharactersWithSpaces>
  <Application>WPS Office_11.8.2.1112_F1E327BC-269C-435d-A152-05C5408002CA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2021-12-14T09:40:00Z</dcterms:created>
  <dc:creator>zyb</dc:creator>
  <cp:lastModifiedBy>ysgz</cp:lastModifiedBy>
  <cp:lastPrinted>2021-12-01T14:23:00Z</cp:lastPrinted>
  <dcterms:modified xsi:type="dcterms:W3CDTF">2023-07-11T10:58:29Z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2052-11.8.2.1112</vt:lpwstr>
  </property>
  <property fmtid="{D5CDD505-2E9C-101B-9397-08002B2CF9AE}" pid="3" name="ICV">
    <vt:lpwstr>37FBE81F919040DC8F137D8CF146272C</vt:lpwstr>
  </property>
</Properties>
</file>